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56C8" w14:textId="77777777" w:rsidR="00BB6AA6" w:rsidRPr="002129DC" w:rsidRDefault="0068027E" w:rsidP="003E2A23">
      <w:pPr>
        <w:jc w:val="center"/>
        <w:rPr>
          <w:b/>
        </w:rPr>
      </w:pPr>
      <w:r w:rsidRPr="002129DC">
        <w:rPr>
          <w:b/>
          <w:noProof/>
          <w:lang w:val="en-GB" w:eastAsia="ko-KR"/>
        </w:rPr>
        <w:drawing>
          <wp:inline distT="0" distB="0" distL="0" distR="0" wp14:anchorId="1F04A754" wp14:editId="109407BA">
            <wp:extent cx="3089313" cy="6858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3092233" cy="686448"/>
                    </a:xfrm>
                    <a:prstGeom prst="rect">
                      <a:avLst/>
                    </a:prstGeom>
                  </pic:spPr>
                </pic:pic>
              </a:graphicData>
            </a:graphic>
          </wp:inline>
        </w:drawing>
      </w:r>
    </w:p>
    <w:p w14:paraId="0A5DECAF" w14:textId="77777777" w:rsidR="00BB6AA6" w:rsidRPr="002129DC" w:rsidRDefault="00BB6AA6" w:rsidP="003E2A23">
      <w:pPr>
        <w:jc w:val="center"/>
        <w:rPr>
          <w:b/>
          <w:lang w:val="en-GB"/>
        </w:rPr>
      </w:pPr>
    </w:p>
    <w:p w14:paraId="504DA7A0" w14:textId="77777777" w:rsidR="00722902" w:rsidRPr="002129DC" w:rsidRDefault="00722902" w:rsidP="00722902">
      <w:pPr>
        <w:jc w:val="center"/>
        <w:rPr>
          <w:b/>
          <w:lang w:val="en-GB"/>
        </w:rPr>
      </w:pPr>
    </w:p>
    <w:p w14:paraId="4E248BDA" w14:textId="77777777" w:rsidR="00722902" w:rsidRPr="002129DC" w:rsidRDefault="00722902" w:rsidP="00722902">
      <w:pPr>
        <w:jc w:val="center"/>
        <w:rPr>
          <w:b/>
          <w:lang w:val="en-GB"/>
        </w:rPr>
      </w:pPr>
    </w:p>
    <w:p w14:paraId="6B160528" w14:textId="6BBE5ECC" w:rsidR="00722902" w:rsidRPr="002129DC" w:rsidRDefault="00722902" w:rsidP="00722902">
      <w:pPr>
        <w:jc w:val="center"/>
        <w:rPr>
          <w:b/>
          <w:sz w:val="32"/>
        </w:rPr>
      </w:pPr>
      <w:r>
        <w:rPr>
          <w:b/>
          <w:sz w:val="32"/>
        </w:rPr>
        <w:t>Mise à jour no 14 sur le programme clinique AIDNPC</w:t>
      </w:r>
    </w:p>
    <w:p w14:paraId="46D0BD00" w14:textId="77777777" w:rsidR="00A53B91" w:rsidRPr="002129DC" w:rsidRDefault="00A53B91" w:rsidP="00722902">
      <w:pPr>
        <w:jc w:val="center"/>
        <w:rPr>
          <w:i/>
        </w:rPr>
      </w:pPr>
      <w:r>
        <w:rPr>
          <w:i/>
        </w:rPr>
        <w:t>(</w:t>
      </w:r>
      <w:proofErr w:type="spellStart"/>
      <w:proofErr w:type="gramStart"/>
      <w:r>
        <w:rPr>
          <w:i/>
        </w:rPr>
        <w:t>arimoclomol</w:t>
      </w:r>
      <w:proofErr w:type="spellEnd"/>
      <w:proofErr w:type="gramEnd"/>
      <w:r>
        <w:rPr>
          <w:i/>
        </w:rPr>
        <w:t xml:space="preserve"> dans le traitement de la maladie de Niemann-</w:t>
      </w:r>
      <w:proofErr w:type="spellStart"/>
      <w:r>
        <w:rPr>
          <w:i/>
        </w:rPr>
        <w:t>Pick</w:t>
      </w:r>
      <w:proofErr w:type="spellEnd"/>
      <w:r>
        <w:rPr>
          <w:i/>
        </w:rPr>
        <w:t xml:space="preserve"> de type C [</w:t>
      </w:r>
      <w:proofErr w:type="spellStart"/>
      <w:r>
        <w:rPr>
          <w:i/>
        </w:rPr>
        <w:t>arimoclomol</w:t>
      </w:r>
      <w:proofErr w:type="spellEnd"/>
      <w:r>
        <w:rPr>
          <w:i/>
        </w:rPr>
        <w:t xml:space="preserve"> in </w:t>
      </w:r>
      <w:proofErr w:type="spellStart"/>
      <w:r>
        <w:rPr>
          <w:i/>
        </w:rPr>
        <w:t>treatment</w:t>
      </w:r>
      <w:proofErr w:type="spellEnd"/>
      <w:r>
        <w:rPr>
          <w:i/>
        </w:rPr>
        <w:t xml:space="preserve"> of Niemann-</w:t>
      </w:r>
      <w:proofErr w:type="spellStart"/>
      <w:r>
        <w:rPr>
          <w:i/>
        </w:rPr>
        <w:t>Pick</w:t>
      </w:r>
      <w:proofErr w:type="spellEnd"/>
      <w:r>
        <w:rPr>
          <w:i/>
        </w:rPr>
        <w:t xml:space="preserve"> </w:t>
      </w:r>
      <w:proofErr w:type="spellStart"/>
      <w:r>
        <w:rPr>
          <w:i/>
        </w:rPr>
        <w:t>disease</w:t>
      </w:r>
      <w:proofErr w:type="spellEnd"/>
      <w:r>
        <w:rPr>
          <w:i/>
        </w:rPr>
        <w:t xml:space="preserve"> type C])</w:t>
      </w:r>
    </w:p>
    <w:p w14:paraId="50EF9160" w14:textId="77777777" w:rsidR="00722902" w:rsidRPr="00115E43" w:rsidRDefault="00722902" w:rsidP="00722902">
      <w:pPr>
        <w:jc w:val="center"/>
        <w:rPr>
          <w:b/>
        </w:rPr>
      </w:pPr>
    </w:p>
    <w:p w14:paraId="11A8EAB1" w14:textId="77777777" w:rsidR="006A41E3" w:rsidRPr="00115E43" w:rsidRDefault="006A41E3" w:rsidP="00242928">
      <w:pPr>
        <w:rPr>
          <w:b/>
        </w:rPr>
      </w:pPr>
    </w:p>
    <w:p w14:paraId="18404179" w14:textId="1DEF2536" w:rsidR="00722902" w:rsidRPr="002129DC" w:rsidRDefault="00722902" w:rsidP="00722902">
      <w:pPr>
        <w:jc w:val="center"/>
        <w:rPr>
          <w:b/>
        </w:rPr>
      </w:pPr>
      <w:r>
        <w:rPr>
          <w:b/>
        </w:rPr>
        <w:t>Conférence téléphonique avec les associations de patients (23 FÉVRIER 2017)</w:t>
      </w:r>
    </w:p>
    <w:p w14:paraId="741C8922" w14:textId="77777777" w:rsidR="00722902" w:rsidRPr="00115E43" w:rsidRDefault="00722902" w:rsidP="002937D3">
      <w:pPr>
        <w:rPr>
          <w:b/>
        </w:rPr>
      </w:pPr>
    </w:p>
    <w:p w14:paraId="05C5D6D0" w14:textId="77777777" w:rsidR="00123D7B" w:rsidRPr="00115E43" w:rsidRDefault="00123D7B" w:rsidP="008E6546">
      <w:pPr>
        <w:rPr>
          <w:b/>
        </w:rPr>
      </w:pPr>
    </w:p>
    <w:p w14:paraId="11CEADFA" w14:textId="77777777" w:rsidR="00D51BD7" w:rsidRPr="00115E43" w:rsidRDefault="00D51BD7" w:rsidP="003E2A23">
      <w:pPr>
        <w:jc w:val="center"/>
        <w:rPr>
          <w:b/>
        </w:rPr>
      </w:pPr>
    </w:p>
    <w:p w14:paraId="40F4FD14" w14:textId="77777777" w:rsidR="00360434" w:rsidRPr="002129DC" w:rsidRDefault="00360434" w:rsidP="00360434">
      <w:pPr>
        <w:rPr>
          <w:rFonts w:ascii="Arial Black" w:hAnsi="Arial Black"/>
        </w:rPr>
      </w:pPr>
      <w:r>
        <w:rPr>
          <w:rFonts w:ascii="Arial Black" w:hAnsi="Arial Black"/>
        </w:rPr>
        <w:t>RÉSUMÉ</w:t>
      </w:r>
    </w:p>
    <w:p w14:paraId="119DB705" w14:textId="77777777" w:rsidR="00242928" w:rsidRPr="00FB2E6C" w:rsidRDefault="00536F90" w:rsidP="00536F90">
      <w:pPr>
        <w:pStyle w:val="ListParagraph"/>
        <w:numPr>
          <w:ilvl w:val="0"/>
          <w:numId w:val="9"/>
        </w:numPr>
        <w:spacing w:before="120" w:line="360" w:lineRule="auto"/>
      </w:pPr>
      <w:r>
        <w:t>Étude 002 : Recrutement dans l’étude interventionnelle 002</w:t>
      </w:r>
    </w:p>
    <w:p w14:paraId="4609C01E" w14:textId="77777777" w:rsidR="00253FB0" w:rsidRPr="00A85E7F" w:rsidRDefault="00253FB0" w:rsidP="00184A68">
      <w:pPr>
        <w:pStyle w:val="ListParagraph"/>
        <w:numPr>
          <w:ilvl w:val="0"/>
          <w:numId w:val="9"/>
        </w:numPr>
        <w:spacing w:before="120" w:line="360" w:lineRule="auto"/>
      </w:pPr>
      <w:proofErr w:type="spellStart"/>
      <w:r>
        <w:t>Orphazymme</w:t>
      </w:r>
      <w:proofErr w:type="spellEnd"/>
      <w:r>
        <w:t xml:space="preserve"> à la conférence WORLD</w:t>
      </w:r>
    </w:p>
    <w:p w14:paraId="756AFFD2" w14:textId="349F775A" w:rsidR="00156C82" w:rsidRPr="00A85E7F" w:rsidRDefault="00156C82" w:rsidP="00156C82">
      <w:pPr>
        <w:pStyle w:val="ListParagraph"/>
        <w:numPr>
          <w:ilvl w:val="0"/>
          <w:numId w:val="9"/>
        </w:numPr>
        <w:spacing w:before="120" w:line="360" w:lineRule="auto"/>
      </w:pPr>
      <w:r>
        <w:t>Nouvelle fréquence des réunions par conférence téléphonique une fois que le recrutement dans l'étude est achevé.</w:t>
      </w:r>
    </w:p>
    <w:p w14:paraId="7F1C2120" w14:textId="77777777" w:rsidR="0068027E" w:rsidRPr="00FB2E6C" w:rsidRDefault="00FB2E6C" w:rsidP="00360434">
      <w:pPr>
        <w:pStyle w:val="ListParagraph"/>
        <w:numPr>
          <w:ilvl w:val="0"/>
          <w:numId w:val="9"/>
        </w:numPr>
        <w:spacing w:before="120" w:line="360" w:lineRule="auto"/>
      </w:pPr>
      <w:r>
        <w:t>Étude 002 : Vue d’ensemble de la conception de l’étude</w:t>
      </w:r>
    </w:p>
    <w:p w14:paraId="752FCDD8" w14:textId="77777777" w:rsidR="00184A68" w:rsidRPr="00115E43" w:rsidRDefault="00184A68" w:rsidP="00360434"/>
    <w:p w14:paraId="45F8D62C" w14:textId="77777777" w:rsidR="00184A68" w:rsidRPr="00115E43" w:rsidRDefault="00184A68" w:rsidP="00360434"/>
    <w:p w14:paraId="254678FB" w14:textId="77777777" w:rsidR="0068027E" w:rsidRPr="00115E43" w:rsidRDefault="0068027E" w:rsidP="00360434"/>
    <w:p w14:paraId="1B9BF7F2" w14:textId="77777777" w:rsidR="00DE69A6" w:rsidRPr="002129DC" w:rsidRDefault="0068027E" w:rsidP="00360434">
      <w:r w:rsidRPr="002129DC">
        <w:rPr>
          <w:b/>
          <w:noProof/>
          <w:lang w:val="en-GB" w:eastAsia="ko-KR"/>
        </w:rPr>
        <w:drawing>
          <wp:anchor distT="0" distB="0" distL="114300" distR="114300" simplePos="0" relativeHeight="251660288" behindDoc="0" locked="0" layoutInCell="1" allowOverlap="1" wp14:anchorId="19F9259E" wp14:editId="0624D6F9">
            <wp:simplePos x="0" y="0"/>
            <wp:positionH relativeFrom="column">
              <wp:align>center</wp:align>
            </wp:positionH>
            <wp:positionV relativeFrom="paragraph">
              <wp:posOffset>635</wp:posOffset>
            </wp:positionV>
            <wp:extent cx="3657600" cy="8756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57600" cy="875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983D2AF" w14:textId="77777777" w:rsidR="00DE69A6" w:rsidRPr="002129DC" w:rsidRDefault="00DE69A6" w:rsidP="00360434">
      <w:r w:rsidRPr="002129DC">
        <w:rPr>
          <w:b/>
          <w:noProof/>
          <w:lang w:val="en-GB" w:eastAsia="ko-KR"/>
        </w:rPr>
        <mc:AlternateContent>
          <mc:Choice Requires="wps">
            <w:drawing>
              <wp:anchor distT="0" distB="0" distL="114300" distR="114300" simplePos="0" relativeHeight="251659264" behindDoc="0" locked="0" layoutInCell="1" allowOverlap="1" wp14:anchorId="4E57C741" wp14:editId="1883D651">
                <wp:simplePos x="0" y="0"/>
                <wp:positionH relativeFrom="column">
                  <wp:posOffset>346710</wp:posOffset>
                </wp:positionH>
                <wp:positionV relativeFrom="paragraph">
                  <wp:posOffset>314960</wp:posOffset>
                </wp:positionV>
                <wp:extent cx="4800600" cy="1463040"/>
                <wp:effectExtent l="0" t="0" r="25400" b="35560"/>
                <wp:wrapTopAndBottom/>
                <wp:docPr id="2" name="Text Box 2"/>
                <wp:cNvGraphicFramePr/>
                <a:graphic xmlns:a="http://schemas.openxmlformats.org/drawingml/2006/main">
                  <a:graphicData uri="http://schemas.microsoft.com/office/word/2010/wordprocessingShape">
                    <wps:wsp>
                      <wps:cNvSpPr txBox="1"/>
                      <wps:spPr>
                        <a:xfrm>
                          <a:off x="0" y="0"/>
                          <a:ext cx="4800600" cy="1463040"/>
                        </a:xfrm>
                        <a:prstGeom prst="rect">
                          <a:avLst/>
                        </a:prstGeom>
                        <a:noFill/>
                        <a:ln w="6350">
                          <a:solidFill>
                            <a:schemeClr val="bg1">
                              <a:lumMod val="6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EC818F" w14:textId="77777777" w:rsidR="008D1F42" w:rsidRPr="00DE69A6" w:rsidRDefault="008D1F42" w:rsidP="00123D7B">
                            <w:pPr>
                              <w:rPr>
                                <w:b/>
                                <w:i/>
                                <w:sz w:val="22"/>
                              </w:rPr>
                            </w:pPr>
                            <w:r>
                              <w:rPr>
                                <w:b/>
                                <w:i/>
                                <w:sz w:val="22"/>
                              </w:rPr>
                              <w:t>Le programme d’essais cliniques AIDNPC est constitué de deux études :</w:t>
                            </w:r>
                          </w:p>
                          <w:p w14:paraId="6B33290F" w14:textId="77777777" w:rsidR="008D1F42" w:rsidRDefault="003748F6" w:rsidP="00DE69A6">
                            <w:pPr>
                              <w:pStyle w:val="ListParagraph"/>
                              <w:numPr>
                                <w:ilvl w:val="0"/>
                                <w:numId w:val="8"/>
                              </w:numPr>
                              <w:spacing w:before="120"/>
                              <w:ind w:left="360"/>
                              <w:rPr>
                                <w:b/>
                                <w:i/>
                                <w:sz w:val="22"/>
                              </w:rPr>
                            </w:pPr>
                            <w:r>
                              <w:rPr>
                                <w:b/>
                                <w:i/>
                                <w:sz w:val="22"/>
                              </w:rPr>
                              <w:t>Le recrutement dans l’étude « 001 », observationnelle, est terminé.</w:t>
                            </w:r>
                          </w:p>
                          <w:p w14:paraId="24BB03AF" w14:textId="77777777" w:rsidR="008D1F42" w:rsidRPr="00DE69A6" w:rsidRDefault="008D1F42" w:rsidP="00DE69A6">
                            <w:pPr>
                              <w:rPr>
                                <w:b/>
                                <w:i/>
                                <w:sz w:val="4"/>
                                <w:szCs w:val="4"/>
                              </w:rPr>
                            </w:pPr>
                          </w:p>
                          <w:p w14:paraId="35892552" w14:textId="77777777" w:rsidR="008D1F42" w:rsidRPr="00DE69A6" w:rsidRDefault="008D1F42" w:rsidP="00B23EE4">
                            <w:pPr>
                              <w:pStyle w:val="ListParagraph"/>
                              <w:numPr>
                                <w:ilvl w:val="0"/>
                                <w:numId w:val="8"/>
                              </w:numPr>
                              <w:spacing w:before="60"/>
                              <w:ind w:left="360"/>
                              <w:rPr>
                                <w:b/>
                                <w:i/>
                                <w:sz w:val="22"/>
                              </w:rPr>
                            </w:pPr>
                            <w:r>
                              <w:rPr>
                                <w:b/>
                                <w:i/>
                                <w:sz w:val="22"/>
                              </w:rPr>
                              <w:t>L’étude « 002 », interventionnelle, est en cours d’ouverture dans les pays où l’autorisation a été obtenue. Ici, les patients recevront trois fois par jour le médicament de l’étude par voie orale de manière contrôlée par placebo. Tous les centres ne sont pas encore en capacité de recruter.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7C741" id="_x0000_t202" coordsize="21600,21600" o:spt="202" path="m,l,21600r21600,l21600,xe">
                <v:stroke joinstyle="miter"/>
                <v:path gradientshapeok="t" o:connecttype="rect"/>
              </v:shapetype>
              <v:shape id="Text Box 2" o:spid="_x0000_s1026" type="#_x0000_t202" style="position:absolute;margin-left:27.3pt;margin-top:24.8pt;width:378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" filled="f" strokecolor="#a5a5a5 [2092]" strokeweight=".5pt">
                <v:textbox>
                  <w:txbxContent>
                    <w:p w14:paraId="6BEC818F" w14:textId="77777777" w:rsidR="008D1F42" w:rsidRPr="00DE69A6" w:rsidRDefault="008D1F42" w:rsidP="00123D7B">
                      <w:pPr>
                        <w:rPr>
                          <w:b/>
                          <w:i/>
                          <w:sz w:val="22"/>
                        </w:rPr>
                      </w:pPr>
                      <w:r>
                        <w:rPr>
                          <w:b/>
                          <w:i/>
                          <w:sz w:val="22"/>
                        </w:rPr>
                        <w:t>Le programme d’essais cliniques AIDNPC est constitué de deux études :</w:t>
                      </w:r>
                    </w:p>
                    <w:p w14:paraId="6B33290F" w14:textId="77777777" w:rsidR="008D1F42" w:rsidRDefault="003748F6" w:rsidP="00DE69A6">
                      <w:pPr>
                        <w:pStyle w:val="ListParagraph"/>
                        <w:numPr>
                          <w:ilvl w:val="0"/>
                          <w:numId w:val="8"/>
                        </w:numPr>
                        <w:spacing w:before="120"/>
                        <w:ind w:left="360"/>
                        <w:rPr>
                          <w:b/>
                          <w:i/>
                          <w:sz w:val="22"/>
                        </w:rPr>
                      </w:pPr>
                      <w:r>
                        <w:rPr>
                          <w:b/>
                          <w:i/>
                          <w:sz w:val="22"/>
                        </w:rPr>
                        <w:t>Le recrutement dans l’étude « 001 », observationnelle, est terminé.</w:t>
                      </w:r>
                    </w:p>
                    <w:p w14:paraId="24BB03AF" w14:textId="77777777" w:rsidR="008D1F42" w:rsidRPr="00DE69A6" w:rsidRDefault="008D1F42" w:rsidP="00DE69A6">
                      <w:pPr>
                        <w:rPr>
                          <w:b/>
                          <w:i/>
                          <w:sz w:val="4"/>
                          <w:szCs w:val="4"/>
                        </w:rPr>
                      </w:pPr>
                    </w:p>
                    <w:p w14:paraId="35892552" w14:textId="77777777" w:rsidR="008D1F42" w:rsidRPr="00DE69A6" w:rsidRDefault="008D1F42" w:rsidP="00B23EE4">
                      <w:pPr>
                        <w:pStyle w:val="ListParagraph"/>
                        <w:numPr>
                          <w:ilvl w:val="0"/>
                          <w:numId w:val="8"/>
                        </w:numPr>
                        <w:spacing w:before="60"/>
                        <w:ind w:left="360"/>
                        <w:rPr>
                          <w:b/>
                          <w:i/>
                          <w:sz w:val="22"/>
                        </w:rPr>
                      </w:pPr>
                      <w:r>
                        <w:rPr>
                          <w:b/>
                          <w:i/>
                          <w:sz w:val="22"/>
                        </w:rPr>
                        <w:t>L’étude « 002 », interventionnelle, est en cours d’ouverture dans les pays où l’autorisation a été obtenue. Ici, les patients recevront trois fois par jour le médicament de l’étude par voie orale de manière contrôlée par placebo. Tous les centres ne sont pas encore en capacité de recruter.</w:t>
                      </w:r>
                    </w:p>
                  </w:txbxContent>
                </v:textbox>
                <w10:wrap type="topAndBottom"/>
              </v:shape>
            </w:pict>
          </mc:Fallback>
        </mc:AlternateContent>
      </w:r>
    </w:p>
    <w:p w14:paraId="61366042" w14:textId="77777777" w:rsidR="00DE69A6" w:rsidRPr="002129DC" w:rsidRDefault="00DE69A6">
      <w:pPr>
        <w:rPr>
          <w:rFonts w:ascii="Arial Black" w:hAnsi="Arial Black"/>
        </w:rPr>
      </w:pPr>
      <w:r>
        <w:br w:type="page"/>
      </w:r>
    </w:p>
    <w:p w14:paraId="7E17B843" w14:textId="77777777" w:rsidR="00536F90" w:rsidRPr="002129DC" w:rsidRDefault="00536F90" w:rsidP="00536F90">
      <w:pPr>
        <w:rPr>
          <w:rFonts w:ascii="Arial Black" w:hAnsi="Arial Black"/>
        </w:rPr>
      </w:pPr>
      <w:r>
        <w:rPr>
          <w:rFonts w:ascii="Arial Black" w:hAnsi="Arial Black"/>
        </w:rPr>
        <w:lastRenderedPageBreak/>
        <w:t>Recrutement dans l’étude interventionnelle 002</w:t>
      </w:r>
    </w:p>
    <w:p w14:paraId="6F04DEF1" w14:textId="7C9CE3D2" w:rsidR="002937D3" w:rsidRPr="002129DC" w:rsidRDefault="00811DFF" w:rsidP="002937D3">
      <w:r>
        <w:t xml:space="preserve">Lors de la dernière conférence téléphonique de fin de mois sur l’AIDNPC organisée par Orphazyme </w:t>
      </w:r>
      <w:proofErr w:type="spellStart"/>
      <w:r>
        <w:t>ApS</w:t>
      </w:r>
      <w:proofErr w:type="spellEnd"/>
      <w:r>
        <w:t>, le promoteur, les informations récentes ci-dessous concernant l’étude « 002 » ont été présentées. Au cours du mois dernier, 3 patients de plus ont été recrutés dans l’étude « 002 », pour un total à ce jour de 25 patients recrutés dans les 8 centres européens pour lequel le recrutement dans l’étude « 002 » a déjà été ouvert. Les deux centres aux États-Unis ont ouvert leur recrutement. Parmi ces patients, 18 patients proviennent de l’étude « 001 » par transition (roll-over), tandis que les 7 autres ont été recrutés directement dans l’étude « 002 ». On compte 9 patients supplémentaires en attente de transition (roll-over) de l'étude « 001 » sur des centres où les dernières barrières légales et réglementaires sont en train d'être levées. À ce jour, les centres ci-dessous ont été activés pour l’étude « 002 » :</w:t>
      </w:r>
    </w:p>
    <w:p w14:paraId="28E9C674" w14:textId="77777777" w:rsidR="002937D3" w:rsidRPr="00115E43" w:rsidRDefault="002937D3" w:rsidP="002937D3"/>
    <w:p w14:paraId="2B6F1035" w14:textId="77777777" w:rsidR="002937D3" w:rsidRPr="00115E43" w:rsidRDefault="002937D3" w:rsidP="002937D3">
      <w:pPr>
        <w:ind w:left="360"/>
        <w:sectPr w:rsidR="002937D3" w:rsidRPr="00115E43" w:rsidSect="0083325E">
          <w:headerReference w:type="default" r:id="rId9"/>
          <w:footerReference w:type="default" r:id="rId10"/>
          <w:type w:val="continuous"/>
          <w:pgSz w:w="12240" w:h="15840"/>
          <w:pgMar w:top="1440" w:right="1800" w:bottom="1440" w:left="1800" w:header="720" w:footer="720" w:gutter="0"/>
          <w:cols w:space="720"/>
          <w:docGrid w:linePitch="360"/>
        </w:sectPr>
      </w:pPr>
    </w:p>
    <w:p w14:paraId="5ECD8058" w14:textId="77777777" w:rsidR="002937D3" w:rsidRDefault="002937D3" w:rsidP="002937D3">
      <w:pPr>
        <w:ind w:left="360"/>
      </w:pPr>
      <w:r>
        <w:t>Copenhague, Danemark</w:t>
      </w:r>
    </w:p>
    <w:p w14:paraId="0CC18790" w14:textId="77777777" w:rsidR="00C72F0A" w:rsidRDefault="00C72F0A" w:rsidP="002937D3">
      <w:pPr>
        <w:ind w:left="360"/>
      </w:pPr>
      <w:r>
        <w:t>Birmingham, Royaume-Uni</w:t>
      </w:r>
    </w:p>
    <w:p w14:paraId="777A5FBF" w14:textId="77777777" w:rsidR="00482DFE" w:rsidRDefault="00482DFE" w:rsidP="002937D3">
      <w:pPr>
        <w:ind w:left="360"/>
      </w:pPr>
      <w:r>
        <w:t>Great Ormond St, Royaume-Uni</w:t>
      </w:r>
    </w:p>
    <w:p w14:paraId="2CB82AAF" w14:textId="77777777" w:rsidR="00C72F0A" w:rsidRDefault="00C72F0A" w:rsidP="002937D3">
      <w:pPr>
        <w:ind w:left="360"/>
      </w:pPr>
      <w:r>
        <w:t>Mayence, Allemagne</w:t>
      </w:r>
    </w:p>
    <w:p w14:paraId="304A3EA3" w14:textId="77777777" w:rsidR="00C72F0A" w:rsidRDefault="00C72F0A" w:rsidP="002937D3">
      <w:pPr>
        <w:ind w:left="360"/>
      </w:pPr>
      <w:r>
        <w:t>Munich, Allemagne</w:t>
      </w:r>
    </w:p>
    <w:p w14:paraId="2B51BC7F" w14:textId="77777777" w:rsidR="00C72F0A" w:rsidRDefault="00C72F0A" w:rsidP="002937D3">
      <w:pPr>
        <w:ind w:left="360"/>
      </w:pPr>
      <w:r>
        <w:t>Paris, France</w:t>
      </w:r>
    </w:p>
    <w:p w14:paraId="79B92056" w14:textId="77777777" w:rsidR="00482DFE" w:rsidRDefault="00482DFE" w:rsidP="002937D3">
      <w:pPr>
        <w:ind w:left="360"/>
      </w:pPr>
      <w:r>
        <w:t>Barcelone, Espagne</w:t>
      </w:r>
    </w:p>
    <w:p w14:paraId="4E1A7907" w14:textId="77777777" w:rsidR="00482DFE" w:rsidRDefault="00482DFE" w:rsidP="002937D3">
      <w:pPr>
        <w:ind w:left="360"/>
      </w:pPr>
      <w:r>
        <w:t>Varsovie, Pologne</w:t>
      </w:r>
    </w:p>
    <w:p w14:paraId="68A1F00F" w14:textId="2F75C8F0" w:rsidR="00482DFE" w:rsidRPr="00153348" w:rsidRDefault="00153348" w:rsidP="002937D3">
      <w:pPr>
        <w:ind w:left="360"/>
      </w:pPr>
      <w:r>
        <w:t>Rochester, MN, États-Unis</w:t>
      </w:r>
    </w:p>
    <w:p w14:paraId="7EB846A1" w14:textId="2657483E" w:rsidR="00153348" w:rsidRPr="00153348" w:rsidRDefault="00153348" w:rsidP="002937D3">
      <w:pPr>
        <w:ind w:left="360"/>
      </w:pPr>
      <w:r>
        <w:t xml:space="preserve">Oakland, </w:t>
      </w:r>
      <w:proofErr w:type="gramStart"/>
      <w:r>
        <w:t>CA</w:t>
      </w:r>
      <w:proofErr w:type="gramEnd"/>
      <w:r>
        <w:t>, États-Unis</w:t>
      </w:r>
    </w:p>
    <w:p w14:paraId="27836C95" w14:textId="77777777" w:rsidR="002937D3" w:rsidRPr="00153348" w:rsidRDefault="002937D3" w:rsidP="002937D3">
      <w:pPr>
        <w:ind w:left="360"/>
        <w:rPr>
          <w:lang w:val="da-DK"/>
        </w:rPr>
        <w:sectPr w:rsidR="002937D3" w:rsidRPr="00153348" w:rsidSect="00DE69A6">
          <w:type w:val="continuous"/>
          <w:pgSz w:w="12240" w:h="15840"/>
          <w:pgMar w:top="1440" w:right="1800" w:bottom="1440" w:left="1800" w:header="720" w:footer="720" w:gutter="0"/>
          <w:cols w:num="3" w:space="288"/>
          <w:docGrid w:linePitch="360"/>
        </w:sectPr>
      </w:pPr>
    </w:p>
    <w:p w14:paraId="77E950A4" w14:textId="77777777" w:rsidR="002937D3" w:rsidRPr="00153348" w:rsidRDefault="002937D3" w:rsidP="002937D3">
      <w:pPr>
        <w:rPr>
          <w:lang w:val="da-DK"/>
        </w:rPr>
      </w:pPr>
    </w:p>
    <w:p w14:paraId="4CC78C7A" w14:textId="3394F560" w:rsidR="00D2295C" w:rsidRDefault="00C851FF" w:rsidP="000F74B5">
      <w:r>
        <w:t>Le nombre total de patients prévus pour être recrutés est de 46.</w:t>
      </w:r>
    </w:p>
    <w:p w14:paraId="1E65098D" w14:textId="77777777" w:rsidR="00D2295C" w:rsidRPr="00115E43" w:rsidRDefault="00D2295C" w:rsidP="000F74B5"/>
    <w:p w14:paraId="252C28E9" w14:textId="01B79952" w:rsidR="00C72F0A" w:rsidRDefault="00C72F0A" w:rsidP="000F74B5">
      <w:r>
        <w:t xml:space="preserve">Orphazyme a indiqué qu’il continue à s’employer à rendre tous les sites prêts et en recrutement actif au plus vite, et l'entreprise a précisé qu’elle espérait que tous les patients soient recrutés d’ici le début du printemps. </w:t>
      </w:r>
    </w:p>
    <w:p w14:paraId="70384922" w14:textId="77777777" w:rsidR="00B52D53" w:rsidRPr="00115E43" w:rsidRDefault="00B52D53" w:rsidP="00B52D53"/>
    <w:p w14:paraId="5C3173E7" w14:textId="3E27E744" w:rsidR="00B52D53" w:rsidRDefault="00B52D53" w:rsidP="000F74B5">
      <w:r>
        <w:t xml:space="preserve">Pour suivre le statut des recrutements et pour obtenir les coordonnées détaillées de chacun des centres cliniques du programme AIDNPC, veuillez consulter le site </w:t>
      </w:r>
      <w:hyperlink r:id="rId11" w:history="1">
        <w:r>
          <w:rPr>
            <w:rStyle w:val="Hyperlink"/>
          </w:rPr>
          <w:t>www.ClinicalTrials.gov</w:t>
        </w:r>
      </w:hyperlink>
      <w:r>
        <w:t xml:space="preserve"> en utilisant la référence </w:t>
      </w:r>
      <w:hyperlink r:id="rId12" w:history="1">
        <w:r>
          <w:rPr>
            <w:rStyle w:val="Hyperlink"/>
          </w:rPr>
          <w:t>NCT02612129</w:t>
        </w:r>
      </w:hyperlink>
      <w:r>
        <w:t>.</w:t>
      </w:r>
    </w:p>
    <w:p w14:paraId="1CF8A8CF" w14:textId="77777777" w:rsidR="00B52D53" w:rsidRPr="00115E43" w:rsidRDefault="00B52D53" w:rsidP="000F74B5"/>
    <w:p w14:paraId="0A017D2F" w14:textId="33FF5B4B" w:rsidR="00B52D53" w:rsidRPr="003C6D81" w:rsidRDefault="00B52D53" w:rsidP="00B52D53">
      <w:pPr>
        <w:keepNext/>
        <w:rPr>
          <w:rFonts w:ascii="Arial Black" w:hAnsi="Arial Black"/>
        </w:rPr>
      </w:pPr>
      <w:proofErr w:type="spellStart"/>
      <w:r>
        <w:rPr>
          <w:rFonts w:ascii="Arial Black" w:hAnsi="Arial Black"/>
        </w:rPr>
        <w:t>Orphazymme</w:t>
      </w:r>
      <w:proofErr w:type="spellEnd"/>
      <w:r>
        <w:rPr>
          <w:rFonts w:ascii="Arial Black" w:hAnsi="Arial Black"/>
        </w:rPr>
        <w:t xml:space="preserve"> est intervenu à la conférence WORLD (San Diego)</w:t>
      </w:r>
    </w:p>
    <w:p w14:paraId="762C27D9" w14:textId="008CA804" w:rsidR="00B52D53" w:rsidRPr="002129DC" w:rsidRDefault="00B52D53" w:rsidP="00B52D53">
      <w:pPr>
        <w:keepNext/>
      </w:pPr>
      <w:r>
        <w:t xml:space="preserve">Le Dr Thomas </w:t>
      </w:r>
      <w:proofErr w:type="spellStart"/>
      <w:r>
        <w:t>Kirkegaard</w:t>
      </w:r>
      <w:proofErr w:type="spellEnd"/>
      <w:r>
        <w:t xml:space="preserve"> Jensen, Directeur scientifique en chef d’Orphazyme, a fait une présentation lors du 13</w:t>
      </w:r>
      <w:r>
        <w:rPr>
          <w:vertAlign w:val="superscript"/>
        </w:rPr>
        <w:t>e</w:t>
      </w:r>
      <w:r>
        <w:t xml:space="preserve"> symposium annuel WORD à San Diego aux États-Unis (13 fév. au 17 fév. 2017) et l'entreprise était ravie de rencontrer et de s'entretenir avec les parties prenantes venues du monde entier. </w:t>
      </w:r>
    </w:p>
    <w:p w14:paraId="73F4260C" w14:textId="77777777" w:rsidR="001D0EB7" w:rsidRPr="00115E43" w:rsidRDefault="001D0EB7" w:rsidP="00156C82">
      <w:pPr>
        <w:jc w:val="center"/>
      </w:pPr>
    </w:p>
    <w:p w14:paraId="158AE0F7" w14:textId="45A7AFBA" w:rsidR="00B52D53" w:rsidRPr="003C6D81" w:rsidRDefault="00156C82" w:rsidP="00B52D53">
      <w:pPr>
        <w:keepNext/>
        <w:rPr>
          <w:rFonts w:ascii="Arial Black" w:hAnsi="Arial Black"/>
        </w:rPr>
      </w:pPr>
      <w:r>
        <w:rPr>
          <w:rFonts w:ascii="Arial Black" w:hAnsi="Arial Black"/>
        </w:rPr>
        <w:t>Nouvelle fréquence des réunions par conférence téléphonique une fois que le recrutement dans l'étude est achevé.</w:t>
      </w:r>
    </w:p>
    <w:p w14:paraId="0BE53089" w14:textId="6C5A17EF" w:rsidR="00B52D53" w:rsidRPr="002129DC" w:rsidRDefault="00156C82" w:rsidP="00B52D53">
      <w:pPr>
        <w:keepNext/>
      </w:pPr>
      <w:r>
        <w:t>Maintenant que le recrutement dans l'étude AIDNPC s'achève bientôt, Orphazyme a proposé une modification de la fréquence des conférences téléphoniques informatives qui sont actuellement mensuelles. Une fois le dernier patient recruté, les actualités pourraient être fournies trimestriellement. L'entreprise invite les organisations de patients à exprimer leur opinion sur la modification proposée de la fréquence des conférences téléphoniques.</w:t>
      </w:r>
    </w:p>
    <w:p w14:paraId="78647FBC" w14:textId="77777777" w:rsidR="001D0EB7" w:rsidRPr="00115E43" w:rsidRDefault="001D0EB7" w:rsidP="00186E9E"/>
    <w:p w14:paraId="69727BCE" w14:textId="77777777" w:rsidR="003C6D81" w:rsidRPr="003C6D81" w:rsidRDefault="003C6D81" w:rsidP="00B52D53">
      <w:pPr>
        <w:rPr>
          <w:rFonts w:ascii="Arial Black" w:hAnsi="Arial Black"/>
        </w:rPr>
      </w:pPr>
      <w:r>
        <w:rPr>
          <w:rFonts w:ascii="Arial Black" w:hAnsi="Arial Black"/>
        </w:rPr>
        <w:lastRenderedPageBreak/>
        <w:t>Vue d’ensemble de la conception de l’étude</w:t>
      </w:r>
    </w:p>
    <w:p w14:paraId="68048A71" w14:textId="77777777" w:rsidR="00BE0C1D" w:rsidRPr="002129DC" w:rsidRDefault="00D32AE3" w:rsidP="00B52D53">
      <w:r>
        <w:t>Le schéma ci-dessous illustre la conception de l’étude « 002 » et précise notamment le nombre et le calendrier des visites des patients dans les centres. Un parcours de sortie est effectué pour les patients dont le niveau de progression de la maladie est inacceptable.</w:t>
      </w:r>
    </w:p>
    <w:p w14:paraId="113FED84" w14:textId="77777777" w:rsidR="00625ED5" w:rsidRPr="00115E43" w:rsidRDefault="00625ED5" w:rsidP="00B52D53"/>
    <w:p w14:paraId="5C8799F9" w14:textId="1C956519" w:rsidR="00607459" w:rsidRPr="002129DC" w:rsidRDefault="00115E43" w:rsidP="00186E9E">
      <w:bookmarkStart w:id="0" w:name="_GoBack"/>
      <w:r>
        <w:rPr>
          <w:noProof/>
          <w:lang w:val="en-GB" w:eastAsia="ko-KR"/>
        </w:rPr>
        <w:drawing>
          <wp:inline distT="0" distB="0" distL="0" distR="0" wp14:anchorId="2A5428CE" wp14:editId="7AB1A324">
            <wp:extent cx="5486400" cy="30765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486400" cy="3076575"/>
                    </a:xfrm>
                    <a:prstGeom prst="rect">
                      <a:avLst/>
                    </a:prstGeom>
                  </pic:spPr>
                </pic:pic>
              </a:graphicData>
            </a:graphic>
          </wp:inline>
        </w:drawing>
      </w:r>
      <w:bookmarkEnd w:id="0"/>
    </w:p>
    <w:p w14:paraId="592AC810" w14:textId="77777777" w:rsidR="00966035" w:rsidRPr="002129DC" w:rsidRDefault="00966035" w:rsidP="00186E9E">
      <w:pPr>
        <w:rPr>
          <w:lang w:val="en-GB"/>
        </w:rPr>
      </w:pPr>
    </w:p>
    <w:p w14:paraId="5949E926" w14:textId="77777777" w:rsidR="00966035" w:rsidRPr="002129DC" w:rsidRDefault="00966035" w:rsidP="00186E9E">
      <w:pPr>
        <w:rPr>
          <w:lang w:val="en-GB"/>
        </w:rPr>
      </w:pPr>
    </w:p>
    <w:p w14:paraId="038240C2" w14:textId="77777777" w:rsidR="00F500DB" w:rsidRPr="002129DC" w:rsidRDefault="00F500DB" w:rsidP="00F500DB">
      <w:pPr>
        <w:rPr>
          <w:lang w:val="en-GB"/>
        </w:rPr>
      </w:pPr>
    </w:p>
    <w:p w14:paraId="36FAFFCF" w14:textId="77777777" w:rsidR="00F500DB" w:rsidRPr="002129DC" w:rsidRDefault="00F500DB" w:rsidP="00F500DB">
      <w:pPr>
        <w:rPr>
          <w:b/>
          <w:i/>
        </w:rPr>
      </w:pPr>
      <w:r>
        <w:rPr>
          <w:b/>
          <w:i/>
        </w:rPr>
        <w:t>Nous encourageons la diffusion des informations ci-dessus au sein de la communauté des patients.</w:t>
      </w:r>
    </w:p>
    <w:p w14:paraId="56347DEB" w14:textId="77777777" w:rsidR="00852FC2" w:rsidRPr="00115E43" w:rsidRDefault="00852FC2" w:rsidP="00D11F69"/>
    <w:p w14:paraId="36CF726B" w14:textId="77777777" w:rsidR="00852FC2" w:rsidRPr="00115E43" w:rsidRDefault="00852FC2" w:rsidP="00D11F69"/>
    <w:p w14:paraId="4F6548BD" w14:textId="77777777" w:rsidR="00D51BD7" w:rsidRPr="002129DC" w:rsidRDefault="00D51BD7" w:rsidP="00D11F69">
      <w:pPr>
        <w:rPr>
          <w:rFonts w:ascii="Arial Black" w:hAnsi="Arial Black"/>
        </w:rPr>
      </w:pPr>
      <w:r>
        <w:rPr>
          <w:rFonts w:ascii="Arial Black" w:hAnsi="Arial Black"/>
        </w:rPr>
        <w:t>Prochaine conférence téléphonique :</w:t>
      </w:r>
    </w:p>
    <w:p w14:paraId="7BA45AA4" w14:textId="10E1AD8C" w:rsidR="00D11F69" w:rsidRPr="002129DC" w:rsidRDefault="004E1852" w:rsidP="00D11F69">
      <w:r>
        <w:t>La prochaine conférence téléphonique AIDNPC est prévue le 30 mars 2017 à 15 h HNA (UTC -4)</w:t>
      </w:r>
    </w:p>
    <w:p w14:paraId="6B363991" w14:textId="77777777" w:rsidR="00FD17B0" w:rsidRPr="00115E43" w:rsidRDefault="00FD17B0" w:rsidP="00D11F69"/>
    <w:p w14:paraId="1A4B5069" w14:textId="77777777" w:rsidR="00FD17B0" w:rsidRPr="00115E43" w:rsidRDefault="00FD17B0" w:rsidP="00D11F69"/>
    <w:p w14:paraId="565892CD" w14:textId="77777777" w:rsidR="00F500DB" w:rsidRPr="002129DC" w:rsidRDefault="00FD17B0">
      <w:pPr>
        <w:rPr>
          <w:rFonts w:ascii="Cambria" w:eastAsia="MS Mincho" w:hAnsi="Cambria" w:cs="Times New Roman"/>
        </w:rPr>
      </w:pPr>
      <w:r>
        <w:rPr>
          <w:rFonts w:ascii="Cambria" w:hAnsi="Cambria"/>
        </w:rPr>
        <w:t xml:space="preserve">N’hésitez pas à consulter le site du programme clinique AIDNPC : </w:t>
      </w:r>
      <w:hyperlink r:id="rId14" w:history="1">
        <w:r>
          <w:rPr>
            <w:rStyle w:val="Hyperlink"/>
            <w:rFonts w:ascii="Cambria" w:hAnsi="Cambria"/>
          </w:rPr>
          <w:t>www.AIDNPC.com</w:t>
        </w:r>
      </w:hyperlink>
      <w:r>
        <w:rPr>
          <w:rFonts w:ascii="Cambria" w:hAnsi="Cambria"/>
        </w:rPr>
        <w:t xml:space="preserve">  </w:t>
      </w:r>
    </w:p>
    <w:sectPr w:rsidR="00F500DB" w:rsidRPr="002129DC" w:rsidSect="0083325E">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AD3E" w14:textId="77777777" w:rsidR="00653C30" w:rsidRDefault="00653C30" w:rsidP="005839DC">
      <w:r>
        <w:separator/>
      </w:r>
    </w:p>
  </w:endnote>
  <w:endnote w:type="continuationSeparator" w:id="0">
    <w:p w14:paraId="01D8AA85" w14:textId="77777777" w:rsidR="00653C30" w:rsidRDefault="00653C30" w:rsidP="0058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8195" w14:textId="77777777" w:rsidR="008D1F42" w:rsidRDefault="008D1F42">
    <w:pPr>
      <w:pStyle w:val="Footer"/>
    </w:pPr>
    <w:r>
      <w:rPr>
        <w:noProof/>
        <w:lang w:val="en-GB" w:eastAsia="ko-KR"/>
      </w:rPr>
      <w:drawing>
        <wp:anchor distT="0" distB="0" distL="114300" distR="114300" simplePos="0" relativeHeight="251663360" behindDoc="0" locked="0" layoutInCell="1" allowOverlap="1" wp14:anchorId="2859C89A" wp14:editId="17718467">
          <wp:simplePos x="0" y="0"/>
          <wp:positionH relativeFrom="page">
            <wp:posOffset>7200900</wp:posOffset>
          </wp:positionH>
          <wp:positionV relativeFrom="page">
            <wp:posOffset>6972300</wp:posOffset>
          </wp:positionV>
          <wp:extent cx="647700" cy="2228215"/>
          <wp:effectExtent l="0" t="0" r="1270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sser.emf"/>
                  <pic:cNvPicPr/>
                </pic:nvPicPr>
                <pic:blipFill>
                  <a:blip r:embed="rId1">
                    <a:extLst>
                      <a:ext uri="{28A0092B-C50C-407E-A947-70E740481C1C}">
                        <a14:useLocalDpi xmlns:a14="http://schemas.microsoft.com/office/drawing/2010/main" val="0"/>
                      </a:ext>
                    </a:extLst>
                  </a:blip>
                  <a:stretch>
                    <a:fillRect/>
                  </a:stretch>
                </pic:blipFill>
                <pic:spPr>
                  <a:xfrm>
                    <a:off x="0" y="0"/>
                    <a:ext cx="647700" cy="22282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5127" w14:textId="77777777" w:rsidR="008D1F42" w:rsidRDefault="008D1F42">
    <w:pPr>
      <w:pStyle w:val="Footer"/>
    </w:pPr>
    <w:r>
      <w:rPr>
        <w:noProof/>
        <w:lang w:val="en-GB" w:eastAsia="ko-KR"/>
      </w:rPr>
      <w:drawing>
        <wp:anchor distT="0" distB="0" distL="114300" distR="114300" simplePos="0" relativeHeight="251659264" behindDoc="0" locked="0" layoutInCell="1" allowOverlap="1" wp14:anchorId="78F12FB1" wp14:editId="57BF960E">
          <wp:simplePos x="0" y="0"/>
          <wp:positionH relativeFrom="page">
            <wp:posOffset>7200900</wp:posOffset>
          </wp:positionH>
          <wp:positionV relativeFrom="page">
            <wp:posOffset>6972300</wp:posOffset>
          </wp:positionV>
          <wp:extent cx="647700" cy="2228215"/>
          <wp:effectExtent l="0" t="0" r="1270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sser.emf"/>
                  <pic:cNvPicPr/>
                </pic:nvPicPr>
                <pic:blipFill>
                  <a:blip r:embed="rId1">
                    <a:extLst>
                      <a:ext uri="{28A0092B-C50C-407E-A947-70E740481C1C}">
                        <a14:useLocalDpi xmlns:a14="http://schemas.microsoft.com/office/drawing/2010/main" val="0"/>
                      </a:ext>
                    </a:extLst>
                  </a:blip>
                  <a:stretch>
                    <a:fillRect/>
                  </a:stretch>
                </pic:blipFill>
                <pic:spPr>
                  <a:xfrm>
                    <a:off x="0" y="0"/>
                    <a:ext cx="647700" cy="22282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E01C" w14:textId="77777777" w:rsidR="00653C30" w:rsidRDefault="00653C30" w:rsidP="005839DC">
      <w:r>
        <w:separator/>
      </w:r>
    </w:p>
  </w:footnote>
  <w:footnote w:type="continuationSeparator" w:id="0">
    <w:p w14:paraId="18A61819" w14:textId="77777777" w:rsidR="00653C30" w:rsidRDefault="00653C30" w:rsidP="0058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3D6B" w14:textId="77777777" w:rsidR="008D1F42" w:rsidRDefault="008D1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0769" w14:textId="77777777" w:rsidR="008D1F42" w:rsidRDefault="008D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15pt;height:131.85pt" o:bullet="t">
        <v:imagedata r:id="rId1" o:title="OZ"/>
      </v:shape>
    </w:pict>
  </w:numPicBullet>
  <w:abstractNum w:abstractNumId="0" w15:restartNumberingAfterBreak="0">
    <w:nsid w:val="01C04DDE"/>
    <w:multiLevelType w:val="hybridMultilevel"/>
    <w:tmpl w:val="CB7A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0930"/>
    <w:multiLevelType w:val="hybridMultilevel"/>
    <w:tmpl w:val="50182958"/>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D2959"/>
    <w:multiLevelType w:val="hybridMultilevel"/>
    <w:tmpl w:val="CB7A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62BC3"/>
    <w:multiLevelType w:val="hybridMultilevel"/>
    <w:tmpl w:val="419A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C129E"/>
    <w:multiLevelType w:val="hybridMultilevel"/>
    <w:tmpl w:val="C8CE02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733CE"/>
    <w:multiLevelType w:val="hybridMultilevel"/>
    <w:tmpl w:val="6090F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861869"/>
    <w:multiLevelType w:val="hybridMultilevel"/>
    <w:tmpl w:val="48BC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70B68"/>
    <w:multiLevelType w:val="hybridMultilevel"/>
    <w:tmpl w:val="863E85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520C1"/>
    <w:multiLevelType w:val="hybridMultilevel"/>
    <w:tmpl w:val="AC7C9D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67B8B"/>
    <w:multiLevelType w:val="hybridMultilevel"/>
    <w:tmpl w:val="BEF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77CC4"/>
    <w:multiLevelType w:val="hybridMultilevel"/>
    <w:tmpl w:val="6080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A206E"/>
    <w:multiLevelType w:val="hybridMultilevel"/>
    <w:tmpl w:val="911AFBCE"/>
    <w:lvl w:ilvl="0" w:tplc="17F8CAD4">
      <w:start w:val="1"/>
      <w:numFmt w:val="bullet"/>
      <w:lvlText w:val=""/>
      <w:lvlPicBulletId w:val="0"/>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61C62"/>
    <w:multiLevelType w:val="hybridMultilevel"/>
    <w:tmpl w:val="3DAA1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1"/>
  </w:num>
  <w:num w:numId="7">
    <w:abstractNumId w:val="0"/>
  </w:num>
  <w:num w:numId="8">
    <w:abstractNumId w:val="3"/>
  </w:num>
  <w:num w:numId="9">
    <w:abstractNumId w:val="11"/>
  </w:num>
  <w:num w:numId="10">
    <w:abstractNumId w:val="9"/>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D1"/>
    <w:rsid w:val="000009E2"/>
    <w:rsid w:val="00011354"/>
    <w:rsid w:val="00015345"/>
    <w:rsid w:val="0004317E"/>
    <w:rsid w:val="000C2023"/>
    <w:rsid w:val="000F74B5"/>
    <w:rsid w:val="00100472"/>
    <w:rsid w:val="00105E19"/>
    <w:rsid w:val="0010717C"/>
    <w:rsid w:val="00115E43"/>
    <w:rsid w:val="00120A71"/>
    <w:rsid w:val="00123D7B"/>
    <w:rsid w:val="00132FF9"/>
    <w:rsid w:val="00153348"/>
    <w:rsid w:val="00156C82"/>
    <w:rsid w:val="00184A68"/>
    <w:rsid w:val="00186E9E"/>
    <w:rsid w:val="001C3972"/>
    <w:rsid w:val="001D0EB7"/>
    <w:rsid w:val="002129DC"/>
    <w:rsid w:val="0022714B"/>
    <w:rsid w:val="00242928"/>
    <w:rsid w:val="002525FE"/>
    <w:rsid w:val="00253FB0"/>
    <w:rsid w:val="00254190"/>
    <w:rsid w:val="00254CB8"/>
    <w:rsid w:val="00277CBC"/>
    <w:rsid w:val="002937D3"/>
    <w:rsid w:val="002B18A6"/>
    <w:rsid w:val="002B7ED4"/>
    <w:rsid w:val="00346AAD"/>
    <w:rsid w:val="00353680"/>
    <w:rsid w:val="00360434"/>
    <w:rsid w:val="0036353A"/>
    <w:rsid w:val="003748F6"/>
    <w:rsid w:val="0039399E"/>
    <w:rsid w:val="003A7387"/>
    <w:rsid w:val="003C6D81"/>
    <w:rsid w:val="003D3F43"/>
    <w:rsid w:val="003E0A02"/>
    <w:rsid w:val="003E2A23"/>
    <w:rsid w:val="0042194B"/>
    <w:rsid w:val="00465A8F"/>
    <w:rsid w:val="00466D92"/>
    <w:rsid w:val="00472CCB"/>
    <w:rsid w:val="00482DFE"/>
    <w:rsid w:val="0049387F"/>
    <w:rsid w:val="004953CF"/>
    <w:rsid w:val="004B4AAA"/>
    <w:rsid w:val="004E1852"/>
    <w:rsid w:val="004E205A"/>
    <w:rsid w:val="00500340"/>
    <w:rsid w:val="00522126"/>
    <w:rsid w:val="00536F90"/>
    <w:rsid w:val="00575A46"/>
    <w:rsid w:val="005806DA"/>
    <w:rsid w:val="005839DC"/>
    <w:rsid w:val="005843AB"/>
    <w:rsid w:val="00584555"/>
    <w:rsid w:val="00592DD9"/>
    <w:rsid w:val="005A4C70"/>
    <w:rsid w:val="005C1865"/>
    <w:rsid w:val="005F5F09"/>
    <w:rsid w:val="00607459"/>
    <w:rsid w:val="00612EC7"/>
    <w:rsid w:val="00621F97"/>
    <w:rsid w:val="00625ED5"/>
    <w:rsid w:val="00653C30"/>
    <w:rsid w:val="00655912"/>
    <w:rsid w:val="006606DF"/>
    <w:rsid w:val="0068027E"/>
    <w:rsid w:val="006A41E3"/>
    <w:rsid w:val="006C5F08"/>
    <w:rsid w:val="006D2227"/>
    <w:rsid w:val="006E1B51"/>
    <w:rsid w:val="006F75CA"/>
    <w:rsid w:val="00705A59"/>
    <w:rsid w:val="00722902"/>
    <w:rsid w:val="007247CC"/>
    <w:rsid w:val="00750E91"/>
    <w:rsid w:val="0076095E"/>
    <w:rsid w:val="00781053"/>
    <w:rsid w:val="00787A10"/>
    <w:rsid w:val="007C05BF"/>
    <w:rsid w:val="00811DFF"/>
    <w:rsid w:val="00831B50"/>
    <w:rsid w:val="0083213E"/>
    <w:rsid w:val="0083325E"/>
    <w:rsid w:val="00836076"/>
    <w:rsid w:val="00852FC2"/>
    <w:rsid w:val="008A5AB5"/>
    <w:rsid w:val="008B052A"/>
    <w:rsid w:val="008C55D4"/>
    <w:rsid w:val="008D1F42"/>
    <w:rsid w:val="008E6546"/>
    <w:rsid w:val="0090192C"/>
    <w:rsid w:val="00927D85"/>
    <w:rsid w:val="009556E7"/>
    <w:rsid w:val="00966035"/>
    <w:rsid w:val="00991556"/>
    <w:rsid w:val="00997BE2"/>
    <w:rsid w:val="00A008B1"/>
    <w:rsid w:val="00A1386C"/>
    <w:rsid w:val="00A23684"/>
    <w:rsid w:val="00A26A10"/>
    <w:rsid w:val="00A34084"/>
    <w:rsid w:val="00A53B91"/>
    <w:rsid w:val="00A8395F"/>
    <w:rsid w:val="00A85E7F"/>
    <w:rsid w:val="00A8723F"/>
    <w:rsid w:val="00B157E4"/>
    <w:rsid w:val="00B205B2"/>
    <w:rsid w:val="00B23EE4"/>
    <w:rsid w:val="00B33644"/>
    <w:rsid w:val="00B52D53"/>
    <w:rsid w:val="00B721CB"/>
    <w:rsid w:val="00BA231D"/>
    <w:rsid w:val="00BB2B35"/>
    <w:rsid w:val="00BB6AA6"/>
    <w:rsid w:val="00BC60E2"/>
    <w:rsid w:val="00BC6357"/>
    <w:rsid w:val="00BE0C1D"/>
    <w:rsid w:val="00BE3B47"/>
    <w:rsid w:val="00BF5993"/>
    <w:rsid w:val="00C05867"/>
    <w:rsid w:val="00C13151"/>
    <w:rsid w:val="00C47566"/>
    <w:rsid w:val="00C72F0A"/>
    <w:rsid w:val="00C851FF"/>
    <w:rsid w:val="00CA7B23"/>
    <w:rsid w:val="00CB1CD0"/>
    <w:rsid w:val="00CE372F"/>
    <w:rsid w:val="00CF0478"/>
    <w:rsid w:val="00D11F69"/>
    <w:rsid w:val="00D2295C"/>
    <w:rsid w:val="00D32AE3"/>
    <w:rsid w:val="00D51BD7"/>
    <w:rsid w:val="00D87AA4"/>
    <w:rsid w:val="00DB1940"/>
    <w:rsid w:val="00DD017F"/>
    <w:rsid w:val="00DD7C23"/>
    <w:rsid w:val="00DE5869"/>
    <w:rsid w:val="00DE69A6"/>
    <w:rsid w:val="00E227A5"/>
    <w:rsid w:val="00E40CC9"/>
    <w:rsid w:val="00E47BBC"/>
    <w:rsid w:val="00E93CD1"/>
    <w:rsid w:val="00EF03D1"/>
    <w:rsid w:val="00EF117B"/>
    <w:rsid w:val="00EF2B47"/>
    <w:rsid w:val="00F13F14"/>
    <w:rsid w:val="00F2006F"/>
    <w:rsid w:val="00F3675C"/>
    <w:rsid w:val="00F500DB"/>
    <w:rsid w:val="00FB2E6C"/>
    <w:rsid w:val="00FD17B0"/>
    <w:rsid w:val="00FF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760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D1"/>
    <w:pPr>
      <w:ind w:left="720"/>
      <w:contextualSpacing/>
    </w:pPr>
  </w:style>
  <w:style w:type="character" w:styleId="Hyperlink">
    <w:name w:val="Hyperlink"/>
    <w:basedOn w:val="DefaultParagraphFont"/>
    <w:uiPriority w:val="99"/>
    <w:unhideWhenUsed/>
    <w:rsid w:val="00927D85"/>
    <w:rPr>
      <w:color w:val="0000FF" w:themeColor="hyperlink"/>
      <w:u w:val="single"/>
    </w:rPr>
  </w:style>
  <w:style w:type="paragraph" w:styleId="BalloonText">
    <w:name w:val="Balloon Text"/>
    <w:basedOn w:val="Normal"/>
    <w:link w:val="BalloonTextChar"/>
    <w:uiPriority w:val="99"/>
    <w:semiHidden/>
    <w:unhideWhenUsed/>
    <w:rsid w:val="00227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14B"/>
    <w:rPr>
      <w:rFonts w:ascii="Lucida Grande" w:hAnsi="Lucida Grande" w:cs="Lucida Grande"/>
      <w:sz w:val="18"/>
      <w:szCs w:val="18"/>
    </w:rPr>
  </w:style>
  <w:style w:type="paragraph" w:styleId="Header">
    <w:name w:val="header"/>
    <w:basedOn w:val="Normal"/>
    <w:link w:val="HeaderChar"/>
    <w:uiPriority w:val="99"/>
    <w:unhideWhenUsed/>
    <w:rsid w:val="005839DC"/>
    <w:pPr>
      <w:tabs>
        <w:tab w:val="center" w:pos="4320"/>
        <w:tab w:val="right" w:pos="8640"/>
      </w:tabs>
    </w:pPr>
  </w:style>
  <w:style w:type="character" w:customStyle="1" w:styleId="HeaderChar">
    <w:name w:val="Header Char"/>
    <w:basedOn w:val="DefaultParagraphFont"/>
    <w:link w:val="Header"/>
    <w:uiPriority w:val="99"/>
    <w:rsid w:val="005839DC"/>
  </w:style>
  <w:style w:type="paragraph" w:styleId="Footer">
    <w:name w:val="footer"/>
    <w:basedOn w:val="Normal"/>
    <w:link w:val="FooterChar"/>
    <w:uiPriority w:val="99"/>
    <w:unhideWhenUsed/>
    <w:rsid w:val="005839DC"/>
    <w:pPr>
      <w:tabs>
        <w:tab w:val="center" w:pos="4320"/>
        <w:tab w:val="right" w:pos="8640"/>
      </w:tabs>
    </w:pPr>
  </w:style>
  <w:style w:type="character" w:customStyle="1" w:styleId="FooterChar">
    <w:name w:val="Footer Char"/>
    <w:basedOn w:val="DefaultParagraphFont"/>
    <w:link w:val="Footer"/>
    <w:uiPriority w:val="99"/>
    <w:rsid w:val="005839DC"/>
  </w:style>
  <w:style w:type="paragraph" w:styleId="NormalWeb">
    <w:name w:val="Normal (Web)"/>
    <w:basedOn w:val="Normal"/>
    <w:uiPriority w:val="99"/>
    <w:semiHidden/>
    <w:unhideWhenUsed/>
    <w:rsid w:val="0076095E"/>
    <w:rPr>
      <w:rFonts w:ascii="Times New Roman" w:hAnsi="Times New Roman" w:cs="Times New Roman"/>
    </w:rPr>
  </w:style>
  <w:style w:type="character" w:styleId="FollowedHyperlink">
    <w:name w:val="FollowedHyperlink"/>
    <w:basedOn w:val="DefaultParagraphFont"/>
    <w:uiPriority w:val="99"/>
    <w:semiHidden/>
    <w:unhideWhenUsed/>
    <w:rsid w:val="002B18A6"/>
    <w:rPr>
      <w:color w:val="800080" w:themeColor="followedHyperlink"/>
      <w:u w:val="single"/>
    </w:rPr>
  </w:style>
  <w:style w:type="character" w:styleId="CommentReference">
    <w:name w:val="annotation reference"/>
    <w:basedOn w:val="DefaultParagraphFont"/>
    <w:uiPriority w:val="99"/>
    <w:semiHidden/>
    <w:unhideWhenUsed/>
    <w:rsid w:val="00C851FF"/>
    <w:rPr>
      <w:sz w:val="18"/>
      <w:szCs w:val="18"/>
    </w:rPr>
  </w:style>
  <w:style w:type="paragraph" w:styleId="CommentText">
    <w:name w:val="annotation text"/>
    <w:basedOn w:val="Normal"/>
    <w:link w:val="CommentTextChar"/>
    <w:uiPriority w:val="99"/>
    <w:semiHidden/>
    <w:unhideWhenUsed/>
    <w:rsid w:val="00C851FF"/>
  </w:style>
  <w:style w:type="character" w:customStyle="1" w:styleId="CommentTextChar">
    <w:name w:val="Comment Text Char"/>
    <w:basedOn w:val="DefaultParagraphFont"/>
    <w:link w:val="CommentText"/>
    <w:uiPriority w:val="99"/>
    <w:semiHidden/>
    <w:rsid w:val="00C851FF"/>
  </w:style>
  <w:style w:type="paragraph" w:styleId="CommentSubject">
    <w:name w:val="annotation subject"/>
    <w:basedOn w:val="CommentText"/>
    <w:next w:val="CommentText"/>
    <w:link w:val="CommentSubjectChar"/>
    <w:uiPriority w:val="99"/>
    <w:semiHidden/>
    <w:unhideWhenUsed/>
    <w:rsid w:val="00C851FF"/>
    <w:rPr>
      <w:b/>
      <w:bCs/>
      <w:sz w:val="20"/>
      <w:szCs w:val="20"/>
    </w:rPr>
  </w:style>
  <w:style w:type="character" w:customStyle="1" w:styleId="CommentSubjectChar">
    <w:name w:val="Comment Subject Char"/>
    <w:basedOn w:val="CommentTextChar"/>
    <w:link w:val="CommentSubject"/>
    <w:uiPriority w:val="99"/>
    <w:semiHidden/>
    <w:rsid w:val="00C851FF"/>
    <w:rPr>
      <w:b/>
      <w:bCs/>
      <w:sz w:val="20"/>
      <w:szCs w:val="20"/>
    </w:rPr>
  </w:style>
  <w:style w:type="paragraph" w:styleId="Revision">
    <w:name w:val="Revision"/>
    <w:hidden/>
    <w:uiPriority w:val="99"/>
    <w:semiHidden/>
    <w:rsid w:val="00C8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2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clinicaltrials.gov/ct2/show/NCT026121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IDNP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Quaade</dc:creator>
  <cp:keywords/>
  <dc:description/>
  <cp:lastModifiedBy>Sam Bennett</cp:lastModifiedBy>
  <cp:revision>2</cp:revision>
  <cp:lastPrinted>2016-09-23T11:43:00Z</cp:lastPrinted>
  <dcterms:created xsi:type="dcterms:W3CDTF">2017-02-27T15:45:00Z</dcterms:created>
  <dcterms:modified xsi:type="dcterms:W3CDTF">2017-02-27T15:45:00Z</dcterms:modified>
</cp:coreProperties>
</file>