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56C8" w14:textId="77777777" w:rsidR="00BB6AA6" w:rsidRPr="002129DC" w:rsidRDefault="0068027E" w:rsidP="003E2A23">
      <w:pPr>
        <w:jc w:val="center"/>
        <w:rPr>
          <w:b/>
          <w:lang w:val="en-GB"/>
        </w:rPr>
      </w:pPr>
      <w:r w:rsidRPr="002129DC">
        <w:rPr>
          <w:b/>
          <w:noProof/>
          <w:lang w:val="en-GB" w:eastAsia="en-GB"/>
        </w:rPr>
        <w:drawing>
          <wp:inline distT="0" distB="0" distL="0" distR="0" wp14:anchorId="1F04A754" wp14:editId="109407BA">
            <wp:extent cx="3089313" cy="68580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2233" cy="6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ECAF" w14:textId="77777777" w:rsidR="00BB6AA6" w:rsidRPr="002129DC" w:rsidRDefault="00BB6AA6" w:rsidP="003E2A23">
      <w:pPr>
        <w:jc w:val="center"/>
        <w:rPr>
          <w:b/>
          <w:lang w:val="en-GB"/>
        </w:rPr>
      </w:pPr>
    </w:p>
    <w:p w14:paraId="504DA7A0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4E248BDA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6B160528" w14:textId="6BBE5ECC" w:rsidR="00722902" w:rsidRPr="002129DC" w:rsidRDefault="00722902" w:rsidP="00722902">
      <w:pPr>
        <w:jc w:val="center"/>
        <w:rPr>
          <w:b/>
          <w:sz w:val="32"/>
          <w:lang w:val="en-GB"/>
        </w:rPr>
      </w:pPr>
      <w:r w:rsidRPr="002129DC">
        <w:rPr>
          <w:b/>
          <w:sz w:val="32"/>
          <w:lang w:val="en-GB"/>
        </w:rPr>
        <w:t>Update</w:t>
      </w:r>
      <w:r w:rsidR="003748F6">
        <w:rPr>
          <w:b/>
          <w:sz w:val="32"/>
          <w:lang w:val="en-GB"/>
        </w:rPr>
        <w:t xml:space="preserve"> #1</w:t>
      </w:r>
      <w:r w:rsidR="00CB1CD0">
        <w:rPr>
          <w:b/>
          <w:sz w:val="32"/>
          <w:lang w:val="en-GB"/>
        </w:rPr>
        <w:t>4</w:t>
      </w:r>
      <w:r w:rsidRPr="002129DC">
        <w:rPr>
          <w:b/>
          <w:sz w:val="32"/>
          <w:lang w:val="en-GB"/>
        </w:rPr>
        <w:t xml:space="preserve"> on the AIDNPC clinical programme</w:t>
      </w:r>
    </w:p>
    <w:p w14:paraId="46D0BD00" w14:textId="77777777" w:rsidR="00A53B91" w:rsidRPr="002129DC" w:rsidRDefault="00A53B91" w:rsidP="00722902">
      <w:pPr>
        <w:jc w:val="center"/>
        <w:rPr>
          <w:i/>
          <w:lang w:val="en-GB"/>
        </w:rPr>
      </w:pPr>
      <w:r w:rsidRPr="002129DC">
        <w:rPr>
          <w:i/>
          <w:lang w:val="en-GB"/>
        </w:rPr>
        <w:t>(arimoclomol in treatment of Niemann-Pick disease type C)</w:t>
      </w:r>
    </w:p>
    <w:p w14:paraId="50EF9160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11A8EAB1" w14:textId="77777777" w:rsidR="006A41E3" w:rsidRPr="002129DC" w:rsidRDefault="006A41E3" w:rsidP="00242928">
      <w:pPr>
        <w:rPr>
          <w:b/>
          <w:lang w:val="en-GB"/>
        </w:rPr>
      </w:pPr>
    </w:p>
    <w:p w14:paraId="18404179" w14:textId="1DEF2536" w:rsidR="00722902" w:rsidRPr="002129DC" w:rsidRDefault="00722902" w:rsidP="00722902">
      <w:pPr>
        <w:jc w:val="center"/>
        <w:rPr>
          <w:b/>
          <w:lang w:val="en-GB"/>
        </w:rPr>
      </w:pPr>
      <w:r w:rsidRPr="002129DC">
        <w:rPr>
          <w:b/>
          <w:lang w:val="en-GB"/>
        </w:rPr>
        <w:t>Conference call with patient organizations</w:t>
      </w:r>
      <w:r w:rsidR="00CB1CD0">
        <w:rPr>
          <w:b/>
          <w:lang w:val="en-GB"/>
        </w:rPr>
        <w:t xml:space="preserve"> (23</w:t>
      </w:r>
      <w:r w:rsidR="002525FE" w:rsidRPr="002129DC">
        <w:rPr>
          <w:b/>
          <w:lang w:val="en-GB"/>
        </w:rPr>
        <w:t xml:space="preserve"> </w:t>
      </w:r>
      <w:r w:rsidR="00CB1CD0">
        <w:rPr>
          <w:b/>
          <w:lang w:val="en-GB"/>
        </w:rPr>
        <w:t>FEB</w:t>
      </w:r>
      <w:r w:rsidR="003748F6">
        <w:rPr>
          <w:b/>
          <w:lang w:val="en-GB"/>
        </w:rPr>
        <w:t xml:space="preserve"> ’17</w:t>
      </w:r>
      <w:r w:rsidR="002525FE" w:rsidRPr="002129DC">
        <w:rPr>
          <w:b/>
          <w:lang w:val="en-GB"/>
        </w:rPr>
        <w:t>)</w:t>
      </w:r>
    </w:p>
    <w:p w14:paraId="741C8922" w14:textId="77777777" w:rsidR="00722902" w:rsidRPr="002129DC" w:rsidRDefault="00722902" w:rsidP="002937D3">
      <w:pPr>
        <w:rPr>
          <w:b/>
          <w:lang w:val="en-GB"/>
        </w:rPr>
      </w:pPr>
    </w:p>
    <w:p w14:paraId="05C5D6D0" w14:textId="77777777" w:rsidR="00123D7B" w:rsidRPr="002129DC" w:rsidRDefault="00123D7B" w:rsidP="008E6546">
      <w:pPr>
        <w:rPr>
          <w:b/>
          <w:lang w:val="en-GB"/>
        </w:rPr>
      </w:pPr>
    </w:p>
    <w:p w14:paraId="11CEADFA" w14:textId="77777777" w:rsidR="00D51BD7" w:rsidRPr="002129DC" w:rsidRDefault="00D51BD7" w:rsidP="003E2A23">
      <w:pPr>
        <w:jc w:val="center"/>
        <w:rPr>
          <w:b/>
          <w:lang w:val="en-GB"/>
        </w:rPr>
      </w:pPr>
    </w:p>
    <w:p w14:paraId="40F4FD14" w14:textId="77777777" w:rsidR="00360434" w:rsidRPr="002129DC" w:rsidRDefault="00360434" w:rsidP="00360434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SUMMARY</w:t>
      </w:r>
    </w:p>
    <w:p w14:paraId="119DB705" w14:textId="77777777" w:rsidR="00242928" w:rsidRPr="00FB2E6C" w:rsidRDefault="00536F90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B2E6C">
        <w:rPr>
          <w:lang w:val="en-GB"/>
        </w:rPr>
        <w:t>002 Study: Recruitment into the 002 Interventional Study</w:t>
      </w:r>
    </w:p>
    <w:p w14:paraId="4609C01E" w14:textId="77777777" w:rsidR="00253FB0" w:rsidRPr="00A85E7F" w:rsidRDefault="00253FB0" w:rsidP="00184A68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253FB0">
        <w:rPr>
          <w:lang w:val="en-GB"/>
        </w:rPr>
        <w:t xml:space="preserve">Orphazyme at </w:t>
      </w:r>
      <w:r>
        <w:rPr>
          <w:lang w:val="en-GB"/>
        </w:rPr>
        <w:t>the WORLD conference</w:t>
      </w:r>
    </w:p>
    <w:p w14:paraId="756AFFD2" w14:textId="349F775A" w:rsidR="00156C82" w:rsidRPr="00A85E7F" w:rsidRDefault="00156C82" w:rsidP="00156C82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156C82">
        <w:rPr>
          <w:lang w:val="en-GB"/>
        </w:rPr>
        <w:t xml:space="preserve">New </w:t>
      </w:r>
      <w:r>
        <w:rPr>
          <w:lang w:val="en-GB"/>
        </w:rPr>
        <w:t xml:space="preserve">TC </w:t>
      </w:r>
      <w:r w:rsidRPr="00156C82">
        <w:rPr>
          <w:lang w:val="en-GB"/>
        </w:rPr>
        <w:t xml:space="preserve">meeting frequency </w:t>
      </w:r>
      <w:r>
        <w:rPr>
          <w:lang w:val="en-GB"/>
        </w:rPr>
        <w:t>once</w:t>
      </w:r>
      <w:r w:rsidRPr="00156C82">
        <w:rPr>
          <w:lang w:val="en-GB"/>
        </w:rPr>
        <w:t xml:space="preserve"> study </w:t>
      </w:r>
      <w:r>
        <w:rPr>
          <w:lang w:val="en-GB"/>
        </w:rPr>
        <w:t>is fully recruited</w:t>
      </w:r>
    </w:p>
    <w:p w14:paraId="7F1C2120" w14:textId="77777777" w:rsidR="0068027E" w:rsidRPr="00FB2E6C" w:rsidRDefault="00FB2E6C" w:rsidP="00360434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B2E6C">
        <w:rPr>
          <w:lang w:val="en-GB"/>
        </w:rPr>
        <w:t>002 Study: Clinical design overview</w:t>
      </w:r>
    </w:p>
    <w:p w14:paraId="752FCDD8" w14:textId="77777777" w:rsidR="00184A68" w:rsidRDefault="00184A68" w:rsidP="00360434">
      <w:pPr>
        <w:rPr>
          <w:lang w:val="en-GB"/>
        </w:rPr>
      </w:pPr>
    </w:p>
    <w:p w14:paraId="45F8D62C" w14:textId="77777777" w:rsidR="00184A68" w:rsidRDefault="00184A68" w:rsidP="00360434">
      <w:pPr>
        <w:rPr>
          <w:lang w:val="en-GB"/>
        </w:rPr>
      </w:pPr>
    </w:p>
    <w:p w14:paraId="763D35D1" w14:textId="77777777" w:rsidR="00184A68" w:rsidRDefault="00184A68" w:rsidP="00360434">
      <w:pPr>
        <w:rPr>
          <w:lang w:val="en-GB"/>
        </w:rPr>
      </w:pPr>
    </w:p>
    <w:p w14:paraId="254678FB" w14:textId="77777777" w:rsidR="0068027E" w:rsidRPr="002129DC" w:rsidRDefault="0068027E" w:rsidP="00360434">
      <w:pPr>
        <w:rPr>
          <w:lang w:val="en-GB"/>
        </w:rPr>
      </w:pPr>
    </w:p>
    <w:p w14:paraId="1B9BF7F2" w14:textId="77777777" w:rsidR="00DE69A6" w:rsidRPr="002129DC" w:rsidRDefault="0068027E" w:rsidP="00360434">
      <w:pPr>
        <w:rPr>
          <w:lang w:val="en-GB"/>
        </w:rPr>
      </w:pPr>
      <w:r w:rsidRPr="002129DC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9F9259E" wp14:editId="0624D6F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875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5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3D2AF" w14:textId="77777777" w:rsidR="00DE69A6" w:rsidRPr="002129DC" w:rsidRDefault="00DE69A6" w:rsidP="00360434">
      <w:pPr>
        <w:rPr>
          <w:lang w:val="en-GB"/>
        </w:rPr>
      </w:pPr>
      <w:r w:rsidRPr="002129D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C741" wp14:editId="1883D651">
                <wp:simplePos x="0" y="0"/>
                <wp:positionH relativeFrom="column">
                  <wp:posOffset>346710</wp:posOffset>
                </wp:positionH>
                <wp:positionV relativeFrom="paragraph">
                  <wp:posOffset>314960</wp:posOffset>
                </wp:positionV>
                <wp:extent cx="4800600" cy="1463040"/>
                <wp:effectExtent l="0" t="0" r="25400" b="355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818F" w14:textId="77777777" w:rsidR="008D1F42" w:rsidRPr="00DE69A6" w:rsidRDefault="008D1F42" w:rsidP="00123D7B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The AIDNPC clinical trial programme consists of two studies:</w:t>
                            </w:r>
                          </w:p>
                          <w:p w14:paraId="6B33290F" w14:textId="77777777" w:rsidR="008D1F42" w:rsidRDefault="003748F6" w:rsidP="00DE69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>The ‘-001’ Observational Study is no longer recruiting</w:t>
                            </w:r>
                            <w:r w:rsidR="008D1F42" w:rsidRPr="00DE69A6">
                              <w:rPr>
                                <w:b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24BB03AF" w14:textId="77777777" w:rsidR="008D1F42" w:rsidRPr="00DE69A6" w:rsidRDefault="008D1F42" w:rsidP="00DE69A6">
                            <w:pPr>
                              <w:spacing w:before="60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35892552" w14:textId="77777777" w:rsidR="008D1F42" w:rsidRPr="00DE69A6" w:rsidRDefault="008D1F42" w:rsidP="00B23E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The ‘-002’ Interventional Study,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is currently </w:t>
                            </w:r>
                            <w:r w:rsidR="00253FB0">
                              <w:rPr>
                                <w:b/>
                                <w:i/>
                                <w:sz w:val="22"/>
                              </w:rPr>
                              <w:t>opening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in countries where approval has been obtained.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Here,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patient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s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will receive three-times daily oral treatment with the study drug in a placebo-controlled manner.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Not all sites are yet able to enroll.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C74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3pt;margin-top:24.8pt;width:37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" filled="f" strokecolor="#a5a5a5 [2092]" strokeweight=".5pt">
                <v:textbox>
                  <w:txbxContent>
                    <w:p w14:paraId="6BEC818F" w14:textId="77777777" w:rsidR="008D1F42" w:rsidRPr="00DE69A6" w:rsidRDefault="008D1F42" w:rsidP="00123D7B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>The AIDNPC clinical trial programme consists of two studies:</w:t>
                      </w:r>
                    </w:p>
                    <w:p w14:paraId="6B33290F" w14:textId="77777777" w:rsidR="008D1F42" w:rsidRDefault="003748F6" w:rsidP="00DE69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>The ‘-001’ Observational Study is no longer recruiting</w:t>
                      </w:r>
                      <w:r w:rsidR="008D1F42" w:rsidRPr="00DE69A6">
                        <w:rPr>
                          <w:b/>
                          <w:i/>
                          <w:sz w:val="22"/>
                        </w:rPr>
                        <w:t>.</w:t>
                      </w:r>
                    </w:p>
                    <w:p w14:paraId="24BB03AF" w14:textId="77777777" w:rsidR="008D1F42" w:rsidRPr="00DE69A6" w:rsidRDefault="008D1F42" w:rsidP="00DE69A6">
                      <w:pPr>
                        <w:spacing w:before="60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35892552" w14:textId="77777777" w:rsidR="008D1F42" w:rsidRPr="00DE69A6" w:rsidRDefault="008D1F42" w:rsidP="00B23E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>The ‘-002’ Interventional Study,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is currently </w:t>
                      </w:r>
                      <w:r w:rsidR="00253FB0">
                        <w:rPr>
                          <w:b/>
                          <w:i/>
                          <w:sz w:val="22"/>
                        </w:rPr>
                        <w:t>opening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in countries where approval has been obtained.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>Here,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patient</w:t>
                      </w:r>
                      <w:r>
                        <w:rPr>
                          <w:b/>
                          <w:i/>
                          <w:sz w:val="22"/>
                        </w:rPr>
                        <w:t>s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will receive three-times daily oral treatment with the study drug in a placebo-controlled manner.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Not all sites are yet able to enroll.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1366042" w14:textId="77777777" w:rsidR="00DE69A6" w:rsidRPr="002129DC" w:rsidRDefault="00DE69A6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br w:type="page"/>
      </w:r>
    </w:p>
    <w:p w14:paraId="7E17B843" w14:textId="77777777" w:rsidR="00536F90" w:rsidRPr="002129DC" w:rsidRDefault="00536F90" w:rsidP="00536F90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lastRenderedPageBreak/>
        <w:t>Recruitment into the 002</w:t>
      </w:r>
      <w:r w:rsidRPr="002129DC">
        <w:rPr>
          <w:rFonts w:ascii="Arial Black" w:hAnsi="Arial Black"/>
          <w:lang w:val="en-GB"/>
        </w:rPr>
        <w:t xml:space="preserve"> </w:t>
      </w:r>
      <w:r w:rsidRPr="00536F90">
        <w:rPr>
          <w:rFonts w:ascii="Arial Black" w:hAnsi="Arial Black"/>
          <w:lang w:val="en-GB"/>
        </w:rPr>
        <w:t xml:space="preserve">Interventional </w:t>
      </w:r>
      <w:r w:rsidRPr="002129DC">
        <w:rPr>
          <w:rFonts w:ascii="Arial Black" w:hAnsi="Arial Black"/>
          <w:lang w:val="en-GB"/>
        </w:rPr>
        <w:t>Study</w:t>
      </w:r>
    </w:p>
    <w:p w14:paraId="6F04DEF1" w14:textId="7C9CE3D2" w:rsidR="002937D3" w:rsidRPr="002129DC" w:rsidRDefault="00811DFF" w:rsidP="002937D3">
      <w:pPr>
        <w:rPr>
          <w:lang w:val="en-GB"/>
        </w:rPr>
      </w:pPr>
      <w:r w:rsidRPr="002129DC">
        <w:rPr>
          <w:lang w:val="en-GB"/>
        </w:rPr>
        <w:t xml:space="preserve">At the latest end-of-the-month AIDNPC telephone conference hosted by the sponsor, Orphazyme ApS, the following update on the recruitment into the </w:t>
      </w:r>
      <w:r w:rsidR="00C72F0A">
        <w:rPr>
          <w:lang w:val="en-GB"/>
        </w:rPr>
        <w:t>‘-002’ Study</w:t>
      </w:r>
      <w:r w:rsidR="004B4AAA">
        <w:rPr>
          <w:lang w:val="en-GB"/>
        </w:rPr>
        <w:t xml:space="preserve"> was presented. Over the last month, </w:t>
      </w:r>
      <w:r w:rsidR="00153348">
        <w:rPr>
          <w:lang w:val="en-GB"/>
        </w:rPr>
        <w:t>3</w:t>
      </w:r>
      <w:r w:rsidR="004B4AAA">
        <w:rPr>
          <w:lang w:val="en-GB"/>
        </w:rPr>
        <w:t xml:space="preserve"> more patients have enrolled in </w:t>
      </w:r>
      <w:r w:rsidR="00C72F0A">
        <w:rPr>
          <w:lang w:val="en-GB"/>
        </w:rPr>
        <w:t>‘-002’ Study</w:t>
      </w:r>
      <w:r w:rsidR="004B4AAA">
        <w:rPr>
          <w:lang w:val="en-GB"/>
        </w:rPr>
        <w:t xml:space="preserve">, </w:t>
      </w:r>
      <w:r w:rsidR="00C72F0A">
        <w:rPr>
          <w:lang w:val="en-GB"/>
        </w:rPr>
        <w:t>for a</w:t>
      </w:r>
      <w:r w:rsidR="004B4AAA">
        <w:rPr>
          <w:lang w:val="en-GB"/>
        </w:rPr>
        <w:t xml:space="preserve"> the</w:t>
      </w:r>
      <w:r w:rsidR="00C13151">
        <w:rPr>
          <w:lang w:val="en-GB"/>
        </w:rPr>
        <w:t xml:space="preserve"> total </w:t>
      </w:r>
      <w:r w:rsidR="00C72F0A">
        <w:rPr>
          <w:lang w:val="en-GB"/>
        </w:rPr>
        <w:t>of</w:t>
      </w:r>
      <w:r w:rsidR="00C13151">
        <w:rPr>
          <w:lang w:val="en-GB"/>
        </w:rPr>
        <w:t xml:space="preserve"> </w:t>
      </w:r>
      <w:r w:rsidR="00153348">
        <w:rPr>
          <w:lang w:val="en-GB"/>
        </w:rPr>
        <w:t>25</w:t>
      </w:r>
      <w:r w:rsidRPr="002129DC">
        <w:rPr>
          <w:lang w:val="en-GB"/>
        </w:rPr>
        <w:t xml:space="preserve"> patients </w:t>
      </w:r>
      <w:r w:rsidR="00C72F0A">
        <w:rPr>
          <w:lang w:val="en-GB"/>
        </w:rPr>
        <w:t xml:space="preserve">now </w:t>
      </w:r>
      <w:r w:rsidRPr="002129DC">
        <w:rPr>
          <w:lang w:val="en-GB"/>
        </w:rPr>
        <w:t xml:space="preserve">enrolled to date at </w:t>
      </w:r>
      <w:r w:rsidR="003748F6">
        <w:rPr>
          <w:lang w:val="en-GB"/>
        </w:rPr>
        <w:t>the 8</w:t>
      </w:r>
      <w:r w:rsidRPr="002129DC">
        <w:rPr>
          <w:lang w:val="en-GB"/>
        </w:rPr>
        <w:t xml:space="preserve"> </w:t>
      </w:r>
      <w:r>
        <w:rPr>
          <w:lang w:val="en-GB"/>
        </w:rPr>
        <w:t xml:space="preserve">European </w:t>
      </w:r>
      <w:r w:rsidRPr="002129DC">
        <w:rPr>
          <w:lang w:val="en-GB"/>
        </w:rPr>
        <w:t>sites</w:t>
      </w:r>
      <w:r w:rsidR="00C72F0A">
        <w:rPr>
          <w:lang w:val="en-GB"/>
        </w:rPr>
        <w:t xml:space="preserve"> that so far have opened for ‘-002’ enrolment</w:t>
      </w:r>
      <w:r w:rsidR="004B4AAA">
        <w:rPr>
          <w:lang w:val="en-GB"/>
        </w:rPr>
        <w:t>.</w:t>
      </w:r>
      <w:r w:rsidR="00153348">
        <w:rPr>
          <w:lang w:val="en-GB"/>
        </w:rPr>
        <w:t xml:space="preserve"> The two US sites have opened for enrolment.</w:t>
      </w:r>
      <w:r w:rsidR="004B4AAA">
        <w:rPr>
          <w:lang w:val="en-GB"/>
        </w:rPr>
        <w:t xml:space="preserve"> Of these</w:t>
      </w:r>
      <w:r w:rsidR="00153348">
        <w:rPr>
          <w:lang w:val="en-GB"/>
        </w:rPr>
        <w:t xml:space="preserve"> partients</w:t>
      </w:r>
      <w:r w:rsidR="00482DFE">
        <w:rPr>
          <w:lang w:val="en-GB"/>
        </w:rPr>
        <w:t>, 18</w:t>
      </w:r>
      <w:r w:rsidR="00C72F0A">
        <w:rPr>
          <w:lang w:val="en-GB"/>
        </w:rPr>
        <w:t xml:space="preserve"> patients have rolled ove</w:t>
      </w:r>
      <w:r w:rsidR="00B52D53">
        <w:rPr>
          <w:lang w:val="en-GB"/>
        </w:rPr>
        <w:t>r from the ‘-001’ Study, while 7</w:t>
      </w:r>
      <w:r w:rsidR="00C72F0A">
        <w:rPr>
          <w:lang w:val="en-GB"/>
        </w:rPr>
        <w:t xml:space="preserve"> are enrolled directly into ‘-002’.</w:t>
      </w:r>
      <w:r w:rsidR="00B52D53">
        <w:rPr>
          <w:lang w:val="en-GB"/>
        </w:rPr>
        <w:t xml:space="preserve"> Awaiting to roll over from the ‘-001’ Study is 9 more patients at sites where the last legal and regulatory hurdles are being addressed.</w:t>
      </w:r>
      <w:r w:rsidR="00C72F0A">
        <w:rPr>
          <w:lang w:val="en-GB"/>
        </w:rPr>
        <w:t xml:space="preserve"> T</w:t>
      </w:r>
      <w:r w:rsidR="00B52D53">
        <w:rPr>
          <w:lang w:val="en-GB"/>
        </w:rPr>
        <w:t xml:space="preserve">o date, </w:t>
      </w:r>
      <w:r w:rsidR="002937D3" w:rsidRPr="002129DC">
        <w:rPr>
          <w:lang w:val="en-GB"/>
        </w:rPr>
        <w:t>the following site</w:t>
      </w:r>
      <w:r w:rsidR="00B52D53">
        <w:rPr>
          <w:lang w:val="en-GB"/>
        </w:rPr>
        <w:t>s</w:t>
      </w:r>
      <w:r w:rsidR="00C72F0A">
        <w:rPr>
          <w:lang w:val="en-GB"/>
        </w:rPr>
        <w:t xml:space="preserve"> have been activated for the ‘-002’ Study</w:t>
      </w:r>
      <w:r w:rsidR="002937D3" w:rsidRPr="002129DC">
        <w:rPr>
          <w:lang w:val="en-GB"/>
        </w:rPr>
        <w:t>:</w:t>
      </w:r>
    </w:p>
    <w:p w14:paraId="28E9C674" w14:textId="77777777" w:rsidR="002937D3" w:rsidRPr="002129DC" w:rsidRDefault="002937D3" w:rsidP="002937D3">
      <w:pPr>
        <w:rPr>
          <w:lang w:val="en-GB"/>
        </w:rPr>
      </w:pPr>
    </w:p>
    <w:p w14:paraId="2B6F1035" w14:textId="77777777" w:rsidR="002937D3" w:rsidRPr="002129DC" w:rsidRDefault="002937D3" w:rsidP="002937D3">
      <w:pPr>
        <w:ind w:left="360"/>
        <w:rPr>
          <w:lang w:val="en-GB"/>
        </w:rPr>
        <w:sectPr w:rsidR="002937D3" w:rsidRPr="002129DC" w:rsidSect="0083325E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CD8058" w14:textId="77777777" w:rsidR="002937D3" w:rsidRDefault="002937D3" w:rsidP="002937D3">
      <w:pPr>
        <w:ind w:left="360"/>
        <w:rPr>
          <w:lang w:val="en-GB"/>
        </w:rPr>
      </w:pPr>
      <w:r w:rsidRPr="002129DC">
        <w:rPr>
          <w:lang w:val="en-GB"/>
        </w:rPr>
        <w:t>Copenhagen, Denmark</w:t>
      </w:r>
    </w:p>
    <w:p w14:paraId="0CC18790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Birmingham, UK</w:t>
      </w:r>
    </w:p>
    <w:p w14:paraId="777A5FBF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Great Ormond St, UK</w:t>
      </w:r>
    </w:p>
    <w:p w14:paraId="2CB82AAF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Mainz, Germany</w:t>
      </w:r>
    </w:p>
    <w:p w14:paraId="304A3EA3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Münich, Germany</w:t>
      </w:r>
    </w:p>
    <w:p w14:paraId="2B51BC7F" w14:textId="77777777" w:rsidR="00C72F0A" w:rsidRDefault="00C72F0A" w:rsidP="002937D3">
      <w:pPr>
        <w:ind w:left="360"/>
        <w:rPr>
          <w:lang w:val="en-GB"/>
        </w:rPr>
      </w:pPr>
      <w:r>
        <w:rPr>
          <w:lang w:val="en-GB"/>
        </w:rPr>
        <w:t>Paris, France</w:t>
      </w:r>
    </w:p>
    <w:p w14:paraId="79B92056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Barcelona, Spain</w:t>
      </w:r>
    </w:p>
    <w:p w14:paraId="4E1A7907" w14:textId="77777777" w:rsidR="00482DFE" w:rsidRDefault="00482DFE" w:rsidP="002937D3">
      <w:pPr>
        <w:ind w:left="360"/>
        <w:rPr>
          <w:lang w:val="en-GB"/>
        </w:rPr>
      </w:pPr>
      <w:r>
        <w:rPr>
          <w:lang w:val="en-GB"/>
        </w:rPr>
        <w:t>Warsaw, Poland</w:t>
      </w:r>
    </w:p>
    <w:p w14:paraId="68A1F00F" w14:textId="2F75C8F0" w:rsidR="00482DFE" w:rsidRPr="00153348" w:rsidRDefault="00153348" w:rsidP="002937D3">
      <w:pPr>
        <w:ind w:left="360"/>
        <w:rPr>
          <w:lang w:val="da-DK"/>
        </w:rPr>
      </w:pPr>
      <w:r>
        <w:rPr>
          <w:lang w:val="da-DK"/>
        </w:rPr>
        <w:t>Rochester, MN-</w:t>
      </w:r>
      <w:r w:rsidRPr="00153348">
        <w:rPr>
          <w:lang w:val="da-DK"/>
        </w:rPr>
        <w:t>USA</w:t>
      </w:r>
    </w:p>
    <w:p w14:paraId="7EB846A1" w14:textId="2657483E" w:rsidR="00153348" w:rsidRPr="00153348" w:rsidRDefault="00153348" w:rsidP="002937D3">
      <w:pPr>
        <w:ind w:left="360"/>
        <w:rPr>
          <w:lang w:val="da-DK"/>
        </w:rPr>
      </w:pPr>
      <w:r>
        <w:rPr>
          <w:lang w:val="da-DK"/>
        </w:rPr>
        <w:t>Oakland, CA-</w:t>
      </w:r>
      <w:r w:rsidRPr="00153348">
        <w:rPr>
          <w:lang w:val="da-DK"/>
        </w:rPr>
        <w:t>USA</w:t>
      </w:r>
    </w:p>
    <w:p w14:paraId="27836C95" w14:textId="77777777" w:rsidR="002937D3" w:rsidRPr="00153348" w:rsidRDefault="002937D3" w:rsidP="002937D3">
      <w:pPr>
        <w:ind w:left="360"/>
        <w:rPr>
          <w:lang w:val="da-DK"/>
        </w:rPr>
        <w:sectPr w:rsidR="002937D3" w:rsidRPr="00153348" w:rsidSect="00DE69A6">
          <w:type w:val="continuous"/>
          <w:pgSz w:w="12240" w:h="15840"/>
          <w:pgMar w:top="1440" w:right="1800" w:bottom="1440" w:left="1800" w:header="720" w:footer="720" w:gutter="0"/>
          <w:cols w:num="3" w:space="288"/>
          <w:docGrid w:linePitch="360"/>
        </w:sectPr>
      </w:pPr>
    </w:p>
    <w:p w14:paraId="77E950A4" w14:textId="77777777" w:rsidR="002937D3" w:rsidRPr="00153348" w:rsidRDefault="002937D3" w:rsidP="002937D3">
      <w:pPr>
        <w:rPr>
          <w:lang w:val="da-DK"/>
        </w:rPr>
      </w:pPr>
    </w:p>
    <w:p w14:paraId="4CC78C7A" w14:textId="3394F560" w:rsidR="00D2295C" w:rsidRDefault="00C851FF" w:rsidP="000F74B5">
      <w:pPr>
        <w:rPr>
          <w:lang w:val="en-GB"/>
        </w:rPr>
      </w:pPr>
      <w:r>
        <w:rPr>
          <w:lang w:val="en-GB"/>
        </w:rPr>
        <w:t>The total number of patien</w:t>
      </w:r>
      <w:r w:rsidR="00B52D53">
        <w:rPr>
          <w:lang w:val="en-GB"/>
        </w:rPr>
        <w:t>ts planned to be enrolled is 46</w:t>
      </w:r>
      <w:r w:rsidR="00C72F0A">
        <w:rPr>
          <w:lang w:val="en-GB"/>
        </w:rPr>
        <w:t>.</w:t>
      </w:r>
    </w:p>
    <w:p w14:paraId="1E65098D" w14:textId="77777777" w:rsidR="00D2295C" w:rsidRDefault="00D2295C" w:rsidP="000F74B5">
      <w:pPr>
        <w:rPr>
          <w:lang w:val="en-GB"/>
        </w:rPr>
      </w:pPr>
    </w:p>
    <w:p w14:paraId="252C28E9" w14:textId="01B79952" w:rsidR="00C72F0A" w:rsidRDefault="00C72F0A" w:rsidP="000F74B5">
      <w:pPr>
        <w:rPr>
          <w:lang w:val="en-GB"/>
        </w:rPr>
      </w:pPr>
      <w:r>
        <w:rPr>
          <w:lang w:val="en-GB"/>
        </w:rPr>
        <w:t>Orphazyme informs that it continue</w:t>
      </w:r>
      <w:r w:rsidR="00B52D53">
        <w:rPr>
          <w:lang w:val="en-GB"/>
        </w:rPr>
        <w:t>s to work to getting all sites</w:t>
      </w:r>
      <w:r>
        <w:rPr>
          <w:lang w:val="en-GB"/>
        </w:rPr>
        <w:t xml:space="preserve"> ready and full</w:t>
      </w:r>
      <w:r w:rsidR="00482DFE">
        <w:rPr>
          <w:lang w:val="en-GB"/>
        </w:rPr>
        <w:t xml:space="preserve">y recruited as soon as possible, and the company expects all patients to have been recruited by early Spring. </w:t>
      </w:r>
    </w:p>
    <w:p w14:paraId="70384922" w14:textId="77777777" w:rsidR="00B52D53" w:rsidRDefault="00B52D53" w:rsidP="00B52D53">
      <w:pPr>
        <w:rPr>
          <w:lang w:val="en-GB"/>
        </w:rPr>
      </w:pPr>
    </w:p>
    <w:p w14:paraId="5C3173E7" w14:textId="3E27E744" w:rsidR="00B52D53" w:rsidRDefault="00B52D53" w:rsidP="000F74B5">
      <w:pPr>
        <w:rPr>
          <w:lang w:val="en-GB"/>
        </w:rPr>
      </w:pPr>
      <w:r w:rsidRPr="002129DC">
        <w:rPr>
          <w:lang w:val="en-GB"/>
        </w:rPr>
        <w:t>To track enrolment status and obtain detailed contact information for individual clinical sites in the AIDNPC programm</w:t>
      </w:r>
      <w:r>
        <w:rPr>
          <w:lang w:val="en-GB"/>
        </w:rPr>
        <w:t xml:space="preserve">e, visit </w:t>
      </w:r>
      <w:hyperlink r:id="rId11" w:history="1">
        <w:r w:rsidRPr="00754FB6">
          <w:rPr>
            <w:rStyle w:val="Hyperlink"/>
            <w:lang w:val="en-GB"/>
          </w:rPr>
          <w:t>www.ClinicalTrials.gov</w:t>
        </w:r>
      </w:hyperlink>
      <w:r>
        <w:rPr>
          <w:lang w:val="en-GB"/>
        </w:rPr>
        <w:t xml:space="preserve"> and </w:t>
      </w:r>
      <w:r w:rsidRPr="002B18A6">
        <w:rPr>
          <w:lang w:val="en-GB"/>
        </w:rPr>
        <w:t xml:space="preserve">use identifier </w:t>
      </w:r>
      <w:hyperlink r:id="rId12" w:history="1">
        <w:r w:rsidRPr="002B18A6">
          <w:rPr>
            <w:rStyle w:val="Hyperlink"/>
            <w:lang w:val="en-GB"/>
          </w:rPr>
          <w:t>NCT02612129</w:t>
        </w:r>
      </w:hyperlink>
      <w:r>
        <w:rPr>
          <w:lang w:val="en-GB"/>
        </w:rPr>
        <w:t>.</w:t>
      </w:r>
    </w:p>
    <w:p w14:paraId="1CF8A8CF" w14:textId="77777777" w:rsidR="00B52D53" w:rsidRDefault="00B52D53" w:rsidP="000F74B5">
      <w:pPr>
        <w:rPr>
          <w:lang w:val="en-GB"/>
        </w:rPr>
      </w:pPr>
    </w:p>
    <w:p w14:paraId="0A017D2F" w14:textId="33FF5B4B" w:rsidR="00B52D53" w:rsidRPr="003C6D81" w:rsidRDefault="00B52D53" w:rsidP="00B52D53">
      <w:pPr>
        <w:keepNext/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 xml:space="preserve">Orphazyme </w:t>
      </w:r>
      <w:r>
        <w:rPr>
          <w:rFonts w:ascii="Arial Black" w:hAnsi="Arial Black"/>
          <w:lang w:val="en-GB"/>
        </w:rPr>
        <w:t xml:space="preserve">presented </w:t>
      </w:r>
      <w:r>
        <w:rPr>
          <w:rFonts w:ascii="Arial Black" w:hAnsi="Arial Black"/>
          <w:lang w:val="en-GB"/>
        </w:rPr>
        <w:t>at the WORLD conference (San Diego)</w:t>
      </w:r>
    </w:p>
    <w:p w14:paraId="762C27D9" w14:textId="008CA804" w:rsidR="00B52D53" w:rsidRPr="002129DC" w:rsidRDefault="00B52D53" w:rsidP="00B52D53">
      <w:pPr>
        <w:keepNext/>
        <w:rPr>
          <w:lang w:val="en-GB"/>
        </w:rPr>
      </w:pPr>
      <w:r>
        <w:rPr>
          <w:lang w:val="en-GB"/>
        </w:rPr>
        <w:t xml:space="preserve">Dr. Thomas Kirkegaard Jensen, Orphazyme’s CSO, </w:t>
      </w:r>
      <w:r>
        <w:rPr>
          <w:lang w:val="en-GB"/>
        </w:rPr>
        <w:t>presented</w:t>
      </w:r>
      <w:r>
        <w:rPr>
          <w:lang w:val="en-GB"/>
        </w:rPr>
        <w:t xml:space="preserve"> at the 13</w:t>
      </w:r>
      <w:r w:rsidRPr="00254CB8">
        <w:rPr>
          <w:vertAlign w:val="superscript"/>
          <w:lang w:val="en-GB"/>
        </w:rPr>
        <w:t>th</w:t>
      </w:r>
      <w:r w:rsidRPr="00254CB8">
        <w:rPr>
          <w:lang w:val="en-GB"/>
        </w:rPr>
        <w:t xml:space="preserve"> </w:t>
      </w:r>
      <w:r>
        <w:rPr>
          <w:lang w:val="en-GB"/>
        </w:rPr>
        <w:t>Annual</w:t>
      </w:r>
      <w:r w:rsidRPr="00254CB8">
        <w:rPr>
          <w:lang w:val="en-GB"/>
        </w:rPr>
        <w:t xml:space="preserve"> WORLD Symposium</w:t>
      </w:r>
      <w:r>
        <w:rPr>
          <w:lang w:val="en-GB"/>
        </w:rPr>
        <w:t xml:space="preserve"> in San Diego US (13/2–17/2 2017), </w:t>
      </w:r>
      <w:r>
        <w:rPr>
          <w:lang w:val="en-GB"/>
        </w:rPr>
        <w:t>and the company was pleased to meet and interact with stakeholder from all over the world</w:t>
      </w:r>
      <w:r>
        <w:rPr>
          <w:lang w:val="en-GB"/>
        </w:rPr>
        <w:t xml:space="preserve">. </w:t>
      </w:r>
    </w:p>
    <w:p w14:paraId="73F4260C" w14:textId="77777777" w:rsidR="001D0EB7" w:rsidRDefault="001D0EB7" w:rsidP="00156C82">
      <w:pPr>
        <w:jc w:val="center"/>
        <w:rPr>
          <w:lang w:val="en-GB"/>
        </w:rPr>
      </w:pPr>
    </w:p>
    <w:p w14:paraId="158AE0F7" w14:textId="45A7AFBA" w:rsidR="00B52D53" w:rsidRPr="003C6D81" w:rsidRDefault="00156C82" w:rsidP="00B52D53">
      <w:pPr>
        <w:keepNext/>
        <w:rPr>
          <w:rFonts w:ascii="Arial Black" w:hAnsi="Arial Black"/>
          <w:lang w:val="en-GB"/>
        </w:rPr>
      </w:pPr>
      <w:bookmarkStart w:id="0" w:name="_GoBack"/>
      <w:bookmarkEnd w:id="0"/>
      <w:r w:rsidRPr="00156C82">
        <w:rPr>
          <w:rFonts w:ascii="Arial Black" w:hAnsi="Arial Black"/>
          <w:lang w:val="en-GB"/>
        </w:rPr>
        <w:t>New TC meeting frequency once study is fully recruited</w:t>
      </w:r>
    </w:p>
    <w:p w14:paraId="0BE53089" w14:textId="6C5A17EF" w:rsidR="00B52D53" w:rsidRPr="002129DC" w:rsidRDefault="00156C82" w:rsidP="00B52D53">
      <w:pPr>
        <w:keepNext/>
        <w:rPr>
          <w:lang w:val="en-GB"/>
        </w:rPr>
      </w:pPr>
      <w:r>
        <w:rPr>
          <w:lang w:val="en-GB"/>
        </w:rPr>
        <w:t>With the AIDNPC study close to being fully recruited, Orphazyme proposed a change of frequency for the now-monthly teleconference calls providing updates</w:t>
      </w:r>
      <w:r w:rsidR="00B52D53">
        <w:rPr>
          <w:lang w:val="en-GB"/>
        </w:rPr>
        <w:t>.</w:t>
      </w:r>
      <w:r>
        <w:rPr>
          <w:lang w:val="en-GB"/>
        </w:rPr>
        <w:t xml:space="preserve"> Once the last patient has been enrolled, the updates</w:t>
      </w:r>
      <w:r w:rsidR="00B52D53">
        <w:rPr>
          <w:lang w:val="en-GB"/>
        </w:rPr>
        <w:t xml:space="preserve"> </w:t>
      </w:r>
      <w:r>
        <w:rPr>
          <w:lang w:val="en-GB"/>
        </w:rPr>
        <w:t>could be provided on a quarterly basis. The company invites the patient organisations to share their views on the proposed change in TC frequency.</w:t>
      </w:r>
    </w:p>
    <w:p w14:paraId="78647FBC" w14:textId="77777777" w:rsidR="001D0EB7" w:rsidRDefault="001D0EB7" w:rsidP="00186E9E">
      <w:pPr>
        <w:rPr>
          <w:lang w:val="en-GB"/>
        </w:rPr>
      </w:pPr>
    </w:p>
    <w:p w14:paraId="69727BCE" w14:textId="77777777" w:rsidR="003C6D81" w:rsidRPr="003C6D81" w:rsidRDefault="003C6D81" w:rsidP="00B52D53">
      <w:pPr>
        <w:rPr>
          <w:rFonts w:ascii="Arial Black" w:hAnsi="Arial Black"/>
          <w:lang w:val="en-GB"/>
        </w:rPr>
      </w:pPr>
      <w:r w:rsidRPr="003C6D81">
        <w:rPr>
          <w:rFonts w:ascii="Arial Black" w:hAnsi="Arial Black"/>
          <w:lang w:val="en-GB"/>
        </w:rPr>
        <w:t>Clinical design overview</w:t>
      </w:r>
    </w:p>
    <w:p w14:paraId="68048A71" w14:textId="77777777" w:rsidR="00BE0C1D" w:rsidRPr="002129DC" w:rsidRDefault="00D32AE3" w:rsidP="00B52D53">
      <w:pPr>
        <w:rPr>
          <w:lang w:val="en-GB"/>
        </w:rPr>
      </w:pPr>
      <w:r>
        <w:rPr>
          <w:lang w:val="en-GB"/>
        </w:rPr>
        <w:t>The graphic below illustrates</w:t>
      </w:r>
      <w:r w:rsidR="00BE0C1D">
        <w:rPr>
          <w:lang w:val="en-GB"/>
        </w:rPr>
        <w:t xml:space="preserve"> the design of the ‘-002’ Study, including number and timing of patients visits to the sites. An escape route is provided for patients that experience an unacceptable rate of progression of the disease.</w:t>
      </w:r>
    </w:p>
    <w:p w14:paraId="113FED84" w14:textId="77777777" w:rsidR="00625ED5" w:rsidRDefault="00625ED5" w:rsidP="00B52D53">
      <w:pPr>
        <w:rPr>
          <w:lang w:val="en-GB"/>
        </w:rPr>
      </w:pPr>
    </w:p>
    <w:p w14:paraId="5C8799F9" w14:textId="77777777" w:rsidR="00607459" w:rsidRPr="002129DC" w:rsidRDefault="003D3F43" w:rsidP="00186E9E">
      <w:pPr>
        <w:rPr>
          <w:lang w:val="en-GB"/>
        </w:rPr>
      </w:pPr>
      <w:r w:rsidRPr="003D3F43">
        <w:rPr>
          <w:noProof/>
          <w:lang w:val="en-GB" w:eastAsia="en-GB"/>
        </w:rPr>
        <w:drawing>
          <wp:inline distT="0" distB="0" distL="0" distR="0" wp14:anchorId="14C1A2C4" wp14:editId="638DFBAA">
            <wp:extent cx="5486400" cy="3113405"/>
            <wp:effectExtent l="0" t="0" r="0" b="1079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C810" w14:textId="77777777" w:rsidR="00966035" w:rsidRPr="002129DC" w:rsidRDefault="00966035" w:rsidP="00186E9E">
      <w:pPr>
        <w:rPr>
          <w:lang w:val="en-GB"/>
        </w:rPr>
      </w:pPr>
    </w:p>
    <w:p w14:paraId="5949E926" w14:textId="77777777" w:rsidR="00966035" w:rsidRPr="002129DC" w:rsidRDefault="00966035" w:rsidP="00186E9E">
      <w:pPr>
        <w:rPr>
          <w:lang w:val="en-GB"/>
        </w:rPr>
      </w:pPr>
    </w:p>
    <w:p w14:paraId="038240C2" w14:textId="77777777" w:rsidR="00F500DB" w:rsidRPr="002129DC" w:rsidRDefault="00F500DB" w:rsidP="00F500DB">
      <w:pPr>
        <w:rPr>
          <w:lang w:val="en-GB"/>
        </w:rPr>
      </w:pPr>
    </w:p>
    <w:p w14:paraId="36FAFFCF" w14:textId="77777777" w:rsidR="00F500DB" w:rsidRPr="002129DC" w:rsidRDefault="00F500DB" w:rsidP="00F500DB">
      <w:pPr>
        <w:rPr>
          <w:b/>
          <w:i/>
          <w:lang w:val="en-GB"/>
        </w:rPr>
      </w:pPr>
      <w:r w:rsidRPr="002129DC">
        <w:rPr>
          <w:b/>
          <w:i/>
          <w:lang w:val="en-GB"/>
        </w:rPr>
        <w:t>We encourage the sharing of above information with the patient community.</w:t>
      </w:r>
    </w:p>
    <w:p w14:paraId="56347DEB" w14:textId="77777777" w:rsidR="00852FC2" w:rsidRPr="002129DC" w:rsidRDefault="00852FC2" w:rsidP="00D11F69">
      <w:pPr>
        <w:rPr>
          <w:lang w:val="en-GB"/>
        </w:rPr>
      </w:pPr>
    </w:p>
    <w:p w14:paraId="36CF726B" w14:textId="77777777" w:rsidR="00852FC2" w:rsidRPr="002129DC" w:rsidRDefault="00852FC2" w:rsidP="00D11F69">
      <w:pPr>
        <w:rPr>
          <w:lang w:val="en-GB"/>
        </w:rPr>
      </w:pPr>
    </w:p>
    <w:p w14:paraId="4F6548BD" w14:textId="77777777" w:rsidR="00D51BD7" w:rsidRPr="002129DC" w:rsidRDefault="00D51BD7" w:rsidP="00D11F69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Next call:</w:t>
      </w:r>
    </w:p>
    <w:p w14:paraId="7BA45AA4" w14:textId="10E1AD8C" w:rsidR="00D11F69" w:rsidRPr="002129DC" w:rsidRDefault="004E1852" w:rsidP="00D11F69">
      <w:pPr>
        <w:rPr>
          <w:lang w:val="en-GB"/>
        </w:rPr>
      </w:pPr>
      <w:r>
        <w:rPr>
          <w:lang w:val="en-GB"/>
        </w:rPr>
        <w:t>The next AIDNPC</w:t>
      </w:r>
      <w:r w:rsidR="00E47BBC" w:rsidRPr="002129DC">
        <w:rPr>
          <w:lang w:val="en-GB"/>
        </w:rPr>
        <w:t xml:space="preserve"> call is schedule for </w:t>
      </w:r>
      <w:r w:rsidR="00607459">
        <w:rPr>
          <w:lang w:val="en-GB"/>
        </w:rPr>
        <w:t>Thursday</w:t>
      </w:r>
      <w:r w:rsidR="00E47BBC" w:rsidRPr="002129DC">
        <w:rPr>
          <w:lang w:val="en-GB"/>
        </w:rPr>
        <w:t xml:space="preserve"> </w:t>
      </w:r>
      <w:r w:rsidR="00CB1CD0">
        <w:rPr>
          <w:lang w:val="en-GB"/>
        </w:rPr>
        <w:t>March 30</w:t>
      </w:r>
      <w:r w:rsidR="00E47BBC" w:rsidRPr="002129DC">
        <w:rPr>
          <w:vertAlign w:val="superscript"/>
          <w:lang w:val="en-GB"/>
        </w:rPr>
        <w:t>th</w:t>
      </w:r>
      <w:r w:rsidR="00E47BBC" w:rsidRPr="002129DC">
        <w:rPr>
          <w:lang w:val="en-GB"/>
        </w:rPr>
        <w:t xml:space="preserve"> </w:t>
      </w:r>
      <w:r w:rsidR="008D1F42">
        <w:rPr>
          <w:lang w:val="en-GB"/>
        </w:rPr>
        <w:t xml:space="preserve">2017 </w:t>
      </w:r>
      <w:r w:rsidR="00E47BBC" w:rsidRPr="002129DC">
        <w:rPr>
          <w:lang w:val="en-GB"/>
        </w:rPr>
        <w:t>at 15h EDT.</w:t>
      </w:r>
    </w:p>
    <w:p w14:paraId="6B363991" w14:textId="77777777" w:rsidR="00FD17B0" w:rsidRPr="002129DC" w:rsidRDefault="00FD17B0" w:rsidP="00D11F69">
      <w:pPr>
        <w:rPr>
          <w:lang w:val="en-GB"/>
        </w:rPr>
      </w:pPr>
    </w:p>
    <w:p w14:paraId="1A4B5069" w14:textId="77777777" w:rsidR="00FD17B0" w:rsidRPr="002129DC" w:rsidRDefault="00FD17B0" w:rsidP="00D11F69">
      <w:pPr>
        <w:rPr>
          <w:lang w:val="en-GB"/>
        </w:rPr>
      </w:pPr>
    </w:p>
    <w:p w14:paraId="565892CD" w14:textId="77777777" w:rsidR="00F500DB" w:rsidRPr="002129DC" w:rsidRDefault="00FD17B0">
      <w:pPr>
        <w:rPr>
          <w:rFonts w:ascii="Cambria" w:eastAsia="MS Mincho" w:hAnsi="Cambria" w:cs="Times New Roman"/>
          <w:lang w:val="en-GB"/>
        </w:rPr>
      </w:pPr>
      <w:r w:rsidRPr="002129DC">
        <w:rPr>
          <w:rFonts w:ascii="Cambria" w:eastAsia="MS Mincho" w:hAnsi="Cambria" w:cs="Times New Roman"/>
          <w:lang w:val="en-GB"/>
        </w:rPr>
        <w:t xml:space="preserve">Visit the AIDNPC Clinical Programme website: </w:t>
      </w:r>
      <w:hyperlink r:id="rId14" w:history="1">
        <w:r w:rsidRPr="002129DC">
          <w:rPr>
            <w:rStyle w:val="Hyperlink"/>
            <w:rFonts w:ascii="Cambria" w:eastAsia="MS Mincho" w:hAnsi="Cambria" w:cs="Times New Roman"/>
            <w:lang w:val="en-GB"/>
          </w:rPr>
          <w:t>www.AIDNPC.com</w:t>
        </w:r>
      </w:hyperlink>
      <w:r w:rsidRPr="002129DC">
        <w:rPr>
          <w:rFonts w:ascii="Cambria" w:eastAsia="MS Mincho" w:hAnsi="Cambria" w:cs="Times New Roman"/>
          <w:lang w:val="en-GB"/>
        </w:rPr>
        <w:t xml:space="preserve">  </w:t>
      </w:r>
    </w:p>
    <w:sectPr w:rsidR="00F500DB" w:rsidRPr="002129DC" w:rsidSect="0083325E">
      <w:headerReference w:type="default" r:id="rId15"/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4AD3E" w14:textId="77777777" w:rsidR="00653C30" w:rsidRDefault="00653C30" w:rsidP="005839DC">
      <w:r>
        <w:separator/>
      </w:r>
    </w:p>
  </w:endnote>
  <w:endnote w:type="continuationSeparator" w:id="0">
    <w:p w14:paraId="01D8AA85" w14:textId="77777777" w:rsidR="00653C30" w:rsidRDefault="00653C30" w:rsidP="005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78195" w14:textId="77777777" w:rsidR="008D1F42" w:rsidRDefault="008D1F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859C89A" wp14:editId="17718467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95127" w14:textId="77777777" w:rsidR="008D1F42" w:rsidRDefault="008D1F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8F12FB1" wp14:editId="57BF960E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7E01C" w14:textId="77777777" w:rsidR="00653C30" w:rsidRDefault="00653C30" w:rsidP="005839DC">
      <w:r>
        <w:separator/>
      </w:r>
    </w:p>
  </w:footnote>
  <w:footnote w:type="continuationSeparator" w:id="0">
    <w:p w14:paraId="18A61819" w14:textId="77777777" w:rsidR="00653C30" w:rsidRDefault="00653C30" w:rsidP="00583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3D6B" w14:textId="77777777" w:rsidR="008D1F42" w:rsidRDefault="008D1F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B0769" w14:textId="77777777" w:rsidR="008D1F42" w:rsidRDefault="008D1F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42pt;height:132pt" o:bullet="t">
        <v:imagedata r:id="rId1" o:title="OZ"/>
      </v:shape>
    </w:pict>
  </w:numPicBullet>
  <w:abstractNum w:abstractNumId="0">
    <w:nsid w:val="01C04DDE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930"/>
    <w:multiLevelType w:val="hybridMultilevel"/>
    <w:tmpl w:val="501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959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2BC3"/>
    <w:multiLevelType w:val="hybridMultilevel"/>
    <w:tmpl w:val="419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129E"/>
    <w:multiLevelType w:val="hybridMultilevel"/>
    <w:tmpl w:val="C8C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33CE"/>
    <w:multiLevelType w:val="hybridMultilevel"/>
    <w:tmpl w:val="6090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1869"/>
    <w:multiLevelType w:val="hybridMultilevel"/>
    <w:tmpl w:val="48BC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B68"/>
    <w:multiLevelType w:val="hybridMultilevel"/>
    <w:tmpl w:val="863E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20C1"/>
    <w:multiLevelType w:val="hybridMultilevel"/>
    <w:tmpl w:val="AC7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7B8B"/>
    <w:multiLevelType w:val="hybridMultilevel"/>
    <w:tmpl w:val="BEF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CC4"/>
    <w:multiLevelType w:val="hybridMultilevel"/>
    <w:tmpl w:val="608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06E"/>
    <w:multiLevelType w:val="hybridMultilevel"/>
    <w:tmpl w:val="911AFBCE"/>
    <w:lvl w:ilvl="0" w:tplc="17F8CAD4">
      <w:start w:val="1"/>
      <w:numFmt w:val="bullet"/>
      <w:lvlText w:val=""/>
      <w:lvlPicBulletId w:val="0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C62"/>
    <w:multiLevelType w:val="hybridMultilevel"/>
    <w:tmpl w:val="3DA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1"/>
    <w:rsid w:val="000009E2"/>
    <w:rsid w:val="00011354"/>
    <w:rsid w:val="00015345"/>
    <w:rsid w:val="0004317E"/>
    <w:rsid w:val="000C2023"/>
    <w:rsid w:val="000F74B5"/>
    <w:rsid w:val="00100472"/>
    <w:rsid w:val="00105E19"/>
    <w:rsid w:val="0010717C"/>
    <w:rsid w:val="00120A71"/>
    <w:rsid w:val="00123D7B"/>
    <w:rsid w:val="00132FF9"/>
    <w:rsid w:val="00153348"/>
    <w:rsid w:val="00156C82"/>
    <w:rsid w:val="00184A68"/>
    <w:rsid w:val="00186E9E"/>
    <w:rsid w:val="001C3972"/>
    <w:rsid w:val="001D0EB7"/>
    <w:rsid w:val="002129DC"/>
    <w:rsid w:val="0022714B"/>
    <w:rsid w:val="00242928"/>
    <w:rsid w:val="002525FE"/>
    <w:rsid w:val="00253FB0"/>
    <w:rsid w:val="00254190"/>
    <w:rsid w:val="00254CB8"/>
    <w:rsid w:val="00277CBC"/>
    <w:rsid w:val="002937D3"/>
    <w:rsid w:val="002B18A6"/>
    <w:rsid w:val="002B7ED4"/>
    <w:rsid w:val="00346AAD"/>
    <w:rsid w:val="00353680"/>
    <w:rsid w:val="00360434"/>
    <w:rsid w:val="0036353A"/>
    <w:rsid w:val="003748F6"/>
    <w:rsid w:val="0039399E"/>
    <w:rsid w:val="003A7387"/>
    <w:rsid w:val="003C6D81"/>
    <w:rsid w:val="003D3F43"/>
    <w:rsid w:val="003E0A02"/>
    <w:rsid w:val="003E2A23"/>
    <w:rsid w:val="0042194B"/>
    <w:rsid w:val="00465A8F"/>
    <w:rsid w:val="00466D92"/>
    <w:rsid w:val="00472CCB"/>
    <w:rsid w:val="00482DFE"/>
    <w:rsid w:val="0049387F"/>
    <w:rsid w:val="004953CF"/>
    <w:rsid w:val="004B4AAA"/>
    <w:rsid w:val="004E1852"/>
    <w:rsid w:val="004E205A"/>
    <w:rsid w:val="00500340"/>
    <w:rsid w:val="00522126"/>
    <w:rsid w:val="00536F90"/>
    <w:rsid w:val="00575A46"/>
    <w:rsid w:val="005806DA"/>
    <w:rsid w:val="005839DC"/>
    <w:rsid w:val="005843AB"/>
    <w:rsid w:val="00584555"/>
    <w:rsid w:val="00592DD9"/>
    <w:rsid w:val="005A4C70"/>
    <w:rsid w:val="005C1865"/>
    <w:rsid w:val="005F5F09"/>
    <w:rsid w:val="00607459"/>
    <w:rsid w:val="00612EC7"/>
    <w:rsid w:val="00621F97"/>
    <w:rsid w:val="00625ED5"/>
    <w:rsid w:val="00653C30"/>
    <w:rsid w:val="00655912"/>
    <w:rsid w:val="006606DF"/>
    <w:rsid w:val="0068027E"/>
    <w:rsid w:val="006A41E3"/>
    <w:rsid w:val="006C5F08"/>
    <w:rsid w:val="006D2227"/>
    <w:rsid w:val="006E1B51"/>
    <w:rsid w:val="006F75CA"/>
    <w:rsid w:val="00705A59"/>
    <w:rsid w:val="00722902"/>
    <w:rsid w:val="007247CC"/>
    <w:rsid w:val="00750E91"/>
    <w:rsid w:val="0076095E"/>
    <w:rsid w:val="00781053"/>
    <w:rsid w:val="00787A10"/>
    <w:rsid w:val="007C05BF"/>
    <w:rsid w:val="00811DFF"/>
    <w:rsid w:val="00831B50"/>
    <w:rsid w:val="0083213E"/>
    <w:rsid w:val="0083325E"/>
    <w:rsid w:val="00836076"/>
    <w:rsid w:val="00852FC2"/>
    <w:rsid w:val="008A5AB5"/>
    <w:rsid w:val="008B052A"/>
    <w:rsid w:val="008C55D4"/>
    <w:rsid w:val="008D1F42"/>
    <w:rsid w:val="008E6546"/>
    <w:rsid w:val="0090192C"/>
    <w:rsid w:val="00927D85"/>
    <w:rsid w:val="009556E7"/>
    <w:rsid w:val="00966035"/>
    <w:rsid w:val="00991556"/>
    <w:rsid w:val="00997BE2"/>
    <w:rsid w:val="00A008B1"/>
    <w:rsid w:val="00A1386C"/>
    <w:rsid w:val="00A23684"/>
    <w:rsid w:val="00A26A10"/>
    <w:rsid w:val="00A34084"/>
    <w:rsid w:val="00A53B91"/>
    <w:rsid w:val="00A8395F"/>
    <w:rsid w:val="00A85E7F"/>
    <w:rsid w:val="00A8723F"/>
    <w:rsid w:val="00B157E4"/>
    <w:rsid w:val="00B205B2"/>
    <w:rsid w:val="00B23EE4"/>
    <w:rsid w:val="00B33644"/>
    <w:rsid w:val="00B52D53"/>
    <w:rsid w:val="00B721CB"/>
    <w:rsid w:val="00BA231D"/>
    <w:rsid w:val="00BB2B35"/>
    <w:rsid w:val="00BB6AA6"/>
    <w:rsid w:val="00BC60E2"/>
    <w:rsid w:val="00BC6357"/>
    <w:rsid w:val="00BE0C1D"/>
    <w:rsid w:val="00BE3B47"/>
    <w:rsid w:val="00BF5993"/>
    <w:rsid w:val="00C05867"/>
    <w:rsid w:val="00C13151"/>
    <w:rsid w:val="00C47566"/>
    <w:rsid w:val="00C72F0A"/>
    <w:rsid w:val="00C851FF"/>
    <w:rsid w:val="00CA7B23"/>
    <w:rsid w:val="00CB1CD0"/>
    <w:rsid w:val="00CE372F"/>
    <w:rsid w:val="00CF0478"/>
    <w:rsid w:val="00D11F69"/>
    <w:rsid w:val="00D2295C"/>
    <w:rsid w:val="00D32AE3"/>
    <w:rsid w:val="00D51BD7"/>
    <w:rsid w:val="00D87AA4"/>
    <w:rsid w:val="00DB1940"/>
    <w:rsid w:val="00DD017F"/>
    <w:rsid w:val="00DD7C23"/>
    <w:rsid w:val="00DE5869"/>
    <w:rsid w:val="00DE69A6"/>
    <w:rsid w:val="00E227A5"/>
    <w:rsid w:val="00E40CC9"/>
    <w:rsid w:val="00E47BBC"/>
    <w:rsid w:val="00E93CD1"/>
    <w:rsid w:val="00EF03D1"/>
    <w:rsid w:val="00EF117B"/>
    <w:rsid w:val="00EF2B47"/>
    <w:rsid w:val="00F13F14"/>
    <w:rsid w:val="00F2006F"/>
    <w:rsid w:val="00F3675C"/>
    <w:rsid w:val="00F500DB"/>
    <w:rsid w:val="00FB2E6C"/>
    <w:rsid w:val="00FD17B0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760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DC"/>
  </w:style>
  <w:style w:type="paragraph" w:styleId="Footer">
    <w:name w:val="footer"/>
    <w:basedOn w:val="Normal"/>
    <w:link w:val="Foot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C"/>
  </w:style>
  <w:style w:type="paragraph" w:styleId="NormalWeb">
    <w:name w:val="Normal (Web)"/>
    <w:basedOn w:val="Normal"/>
    <w:uiPriority w:val="99"/>
    <w:semiHidden/>
    <w:unhideWhenUsed/>
    <w:rsid w:val="0076095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18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1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1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1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linicalTrials.gov" TargetMode="External"/><Relationship Id="rId12" Type="http://schemas.openxmlformats.org/officeDocument/2006/relationships/hyperlink" Target="https://clinicaltrials.gov/ct2/show/NCT02612129" TargetMode="External"/><Relationship Id="rId13" Type="http://schemas.openxmlformats.org/officeDocument/2006/relationships/image" Target="media/image5.emf"/><Relationship Id="rId14" Type="http://schemas.openxmlformats.org/officeDocument/2006/relationships/hyperlink" Target="http://www.AIDNPC.com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Quaade</dc:creator>
  <cp:keywords/>
  <dc:description/>
  <cp:lastModifiedBy>Christian Quaade</cp:lastModifiedBy>
  <cp:revision>3</cp:revision>
  <cp:lastPrinted>2016-09-23T11:43:00Z</cp:lastPrinted>
  <dcterms:created xsi:type="dcterms:W3CDTF">2017-02-23T15:18:00Z</dcterms:created>
  <dcterms:modified xsi:type="dcterms:W3CDTF">2017-02-23T15:36:00Z</dcterms:modified>
</cp:coreProperties>
</file>