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56C8" w14:textId="77777777" w:rsidR="00BB6AA6" w:rsidRPr="002129DC" w:rsidRDefault="0068027E" w:rsidP="003E2A23">
      <w:pPr>
        <w:jc w:val="center"/>
        <w:rPr>
          <w:b/>
        </w:rPr>
      </w:pPr>
      <w:r w:rsidRPr="002129DC">
        <w:rPr>
          <w:b/>
          <w:noProof/>
          <w:lang w:val="en-GB" w:eastAsia="ko-KR"/>
        </w:rPr>
        <w:drawing>
          <wp:inline distT="0" distB="0" distL="0" distR="0" wp14:anchorId="1F04A754" wp14:editId="109407BA">
            <wp:extent cx="3089313" cy="6858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3092233" cy="686448"/>
                    </a:xfrm>
                    <a:prstGeom prst="rect">
                      <a:avLst/>
                    </a:prstGeom>
                  </pic:spPr>
                </pic:pic>
              </a:graphicData>
            </a:graphic>
          </wp:inline>
        </w:drawing>
      </w:r>
    </w:p>
    <w:p w14:paraId="0A5DECAF" w14:textId="77777777" w:rsidR="00BB6AA6" w:rsidRPr="002129DC" w:rsidRDefault="00BB6AA6" w:rsidP="003E2A23">
      <w:pPr>
        <w:jc w:val="center"/>
        <w:rPr>
          <w:b/>
          <w:lang w:val="en-GB"/>
        </w:rPr>
      </w:pPr>
    </w:p>
    <w:p w14:paraId="504DA7A0" w14:textId="77777777" w:rsidR="00722902" w:rsidRPr="002129DC" w:rsidRDefault="00722902" w:rsidP="00722902">
      <w:pPr>
        <w:jc w:val="center"/>
        <w:rPr>
          <w:b/>
          <w:lang w:val="en-GB"/>
        </w:rPr>
      </w:pPr>
    </w:p>
    <w:p w14:paraId="4E248BDA" w14:textId="77777777" w:rsidR="00722902" w:rsidRPr="002129DC" w:rsidRDefault="00722902" w:rsidP="00722902">
      <w:pPr>
        <w:jc w:val="center"/>
        <w:rPr>
          <w:b/>
          <w:lang w:val="en-GB"/>
        </w:rPr>
      </w:pPr>
    </w:p>
    <w:p w14:paraId="6B160528" w14:textId="6BBE5ECC" w:rsidR="00722902" w:rsidRPr="002129DC" w:rsidRDefault="00722902" w:rsidP="00722902">
      <w:pPr>
        <w:jc w:val="center"/>
        <w:rPr>
          <w:b/>
          <w:sz w:val="32"/>
        </w:rPr>
      </w:pPr>
      <w:r>
        <w:rPr>
          <w:b/>
          <w:sz w:val="32"/>
        </w:rPr>
        <w:t>Actualización n.º 14 del programa clínico AIDNPC</w:t>
      </w:r>
    </w:p>
    <w:p w14:paraId="46D0BD00" w14:textId="77777777" w:rsidR="00A53B91" w:rsidRPr="002129DC" w:rsidRDefault="00A53B91" w:rsidP="00722902">
      <w:pPr>
        <w:jc w:val="center"/>
        <w:rPr>
          <w:i/>
        </w:rPr>
      </w:pPr>
      <w:r>
        <w:rPr>
          <w:i/>
        </w:rPr>
        <w:t>(arimoclomol en el tratamiento de la enfermedad de Niemann-Pick, tipo C)</w:t>
      </w:r>
    </w:p>
    <w:p w14:paraId="50EF9160" w14:textId="77777777" w:rsidR="00722902" w:rsidRPr="006B17A6" w:rsidRDefault="00722902" w:rsidP="00722902">
      <w:pPr>
        <w:jc w:val="center"/>
        <w:rPr>
          <w:b/>
        </w:rPr>
      </w:pPr>
    </w:p>
    <w:p w14:paraId="11A8EAB1" w14:textId="77777777" w:rsidR="006A41E3" w:rsidRPr="006B17A6" w:rsidRDefault="006A41E3" w:rsidP="00242928">
      <w:pPr>
        <w:rPr>
          <w:b/>
        </w:rPr>
      </w:pPr>
    </w:p>
    <w:p w14:paraId="18404179" w14:textId="1DEF2536" w:rsidR="00722902" w:rsidRPr="002129DC" w:rsidRDefault="00722902" w:rsidP="00722902">
      <w:pPr>
        <w:jc w:val="center"/>
        <w:rPr>
          <w:b/>
        </w:rPr>
      </w:pPr>
      <w:r>
        <w:rPr>
          <w:b/>
        </w:rPr>
        <w:t>Conferencia telefónica con las organizaciones de pacientes (23 de febrero de 2017)</w:t>
      </w:r>
    </w:p>
    <w:p w14:paraId="741C8922" w14:textId="77777777" w:rsidR="00722902" w:rsidRPr="006B17A6" w:rsidRDefault="00722902" w:rsidP="002937D3">
      <w:pPr>
        <w:rPr>
          <w:b/>
        </w:rPr>
      </w:pPr>
    </w:p>
    <w:p w14:paraId="05C5D6D0" w14:textId="77777777" w:rsidR="00123D7B" w:rsidRPr="006B17A6" w:rsidRDefault="00123D7B" w:rsidP="008E6546">
      <w:pPr>
        <w:rPr>
          <w:b/>
        </w:rPr>
      </w:pPr>
    </w:p>
    <w:p w14:paraId="11CEADFA" w14:textId="77777777" w:rsidR="00D51BD7" w:rsidRPr="006B17A6" w:rsidRDefault="00D51BD7" w:rsidP="003E2A23">
      <w:pPr>
        <w:jc w:val="center"/>
        <w:rPr>
          <w:b/>
        </w:rPr>
      </w:pPr>
    </w:p>
    <w:p w14:paraId="40F4FD14" w14:textId="77777777" w:rsidR="00360434" w:rsidRPr="002129DC" w:rsidRDefault="00360434" w:rsidP="00360434">
      <w:pPr>
        <w:rPr>
          <w:rFonts w:ascii="Arial Black" w:hAnsi="Arial Black"/>
        </w:rPr>
      </w:pPr>
      <w:r>
        <w:rPr>
          <w:rFonts w:ascii="Arial Black" w:hAnsi="Arial Black"/>
        </w:rPr>
        <w:t>RESUMEN</w:t>
      </w:r>
    </w:p>
    <w:p w14:paraId="119DB705" w14:textId="77777777" w:rsidR="00242928" w:rsidRPr="00FB2E6C" w:rsidRDefault="00536F90" w:rsidP="00536F90">
      <w:pPr>
        <w:pStyle w:val="ListParagraph"/>
        <w:numPr>
          <w:ilvl w:val="0"/>
          <w:numId w:val="9"/>
        </w:numPr>
        <w:spacing w:before="120" w:line="360" w:lineRule="auto"/>
      </w:pPr>
      <w:r>
        <w:t>Estudio 002: Inclusión de pacientes en el estudio de intervención 002</w:t>
      </w:r>
    </w:p>
    <w:p w14:paraId="4609C01E" w14:textId="77777777" w:rsidR="00253FB0" w:rsidRPr="00A85E7F" w:rsidRDefault="00253FB0" w:rsidP="00184A68">
      <w:pPr>
        <w:pStyle w:val="ListParagraph"/>
        <w:numPr>
          <w:ilvl w:val="0"/>
          <w:numId w:val="9"/>
        </w:numPr>
        <w:spacing w:before="120" w:line="360" w:lineRule="auto"/>
      </w:pPr>
      <w:r>
        <w:t>Orphazyme en la conferencia MUNDIAL</w:t>
      </w:r>
    </w:p>
    <w:p w14:paraId="756AFFD2" w14:textId="349F775A" w:rsidR="00156C82" w:rsidRPr="00A85E7F" w:rsidRDefault="00156C82" w:rsidP="00156C82">
      <w:pPr>
        <w:pStyle w:val="ListParagraph"/>
        <w:numPr>
          <w:ilvl w:val="0"/>
          <w:numId w:val="9"/>
        </w:numPr>
        <w:spacing w:before="120" w:line="360" w:lineRule="auto"/>
      </w:pPr>
      <w:r>
        <w:t>Nueva frecuencia de las reuniones por videoconferencia una vez incluidos todos los pacientes en el estudio</w:t>
      </w:r>
    </w:p>
    <w:p w14:paraId="7F1C2120" w14:textId="77777777" w:rsidR="0068027E" w:rsidRPr="00FB2E6C" w:rsidRDefault="00FB2E6C" w:rsidP="00360434">
      <w:pPr>
        <w:pStyle w:val="ListParagraph"/>
        <w:numPr>
          <w:ilvl w:val="0"/>
          <w:numId w:val="9"/>
        </w:numPr>
        <w:spacing w:before="120" w:line="360" w:lineRule="auto"/>
      </w:pPr>
      <w:r>
        <w:t>Estudio 002: Resumen del diseño clínico</w:t>
      </w:r>
    </w:p>
    <w:p w14:paraId="752FCDD8" w14:textId="77777777" w:rsidR="00184A68" w:rsidRDefault="00184A68" w:rsidP="00360434">
      <w:pPr>
        <w:rPr>
          <w:lang w:val="en-GB"/>
        </w:rPr>
      </w:pPr>
    </w:p>
    <w:p w14:paraId="45F8D62C" w14:textId="77777777" w:rsidR="00184A68" w:rsidRDefault="00184A68" w:rsidP="00360434">
      <w:pPr>
        <w:rPr>
          <w:lang w:val="en-GB"/>
        </w:rPr>
      </w:pPr>
    </w:p>
    <w:p w14:paraId="763D35D1" w14:textId="77777777" w:rsidR="00184A68" w:rsidRDefault="00184A68" w:rsidP="00360434">
      <w:pPr>
        <w:rPr>
          <w:lang w:val="en-GB"/>
        </w:rPr>
      </w:pPr>
    </w:p>
    <w:p w14:paraId="1B9BF7F2" w14:textId="77777777" w:rsidR="00DE69A6" w:rsidRPr="002129DC" w:rsidRDefault="0068027E" w:rsidP="00360434">
      <w:r w:rsidRPr="002129DC">
        <w:rPr>
          <w:b/>
          <w:noProof/>
          <w:lang w:val="en-GB" w:eastAsia="ko-KR"/>
        </w:rPr>
        <w:drawing>
          <wp:anchor distT="0" distB="0" distL="114300" distR="114300" simplePos="0" relativeHeight="251660288" behindDoc="0" locked="0" layoutInCell="1" allowOverlap="1" wp14:anchorId="19F9259E" wp14:editId="0624D6F9">
            <wp:simplePos x="0" y="0"/>
            <wp:positionH relativeFrom="column">
              <wp:align>center</wp:align>
            </wp:positionH>
            <wp:positionV relativeFrom="paragraph">
              <wp:posOffset>635</wp:posOffset>
            </wp:positionV>
            <wp:extent cx="3657600" cy="8756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57600" cy="87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983D2AF" w14:textId="77777777" w:rsidR="00DE69A6" w:rsidRPr="002129DC" w:rsidRDefault="00DE69A6" w:rsidP="00360434">
      <w:r w:rsidRPr="002129DC">
        <w:rPr>
          <w:b/>
          <w:noProof/>
          <w:lang w:val="en-GB" w:eastAsia="ko-KR"/>
        </w:rPr>
        <mc:AlternateContent>
          <mc:Choice Requires="wps">
            <w:drawing>
              <wp:anchor distT="0" distB="0" distL="114300" distR="114300" simplePos="0" relativeHeight="251659264" behindDoc="0" locked="0" layoutInCell="1" allowOverlap="1" wp14:anchorId="4E57C741" wp14:editId="1883D651">
                <wp:simplePos x="0" y="0"/>
                <wp:positionH relativeFrom="column">
                  <wp:posOffset>346710</wp:posOffset>
                </wp:positionH>
                <wp:positionV relativeFrom="paragraph">
                  <wp:posOffset>314960</wp:posOffset>
                </wp:positionV>
                <wp:extent cx="4800600" cy="1463040"/>
                <wp:effectExtent l="0" t="0" r="25400" b="35560"/>
                <wp:wrapTopAndBottom/>
                <wp:docPr id="2" name="Text Box 2"/>
                <wp:cNvGraphicFramePr/>
                <a:graphic xmlns:a="http://schemas.openxmlformats.org/drawingml/2006/main">
                  <a:graphicData uri="http://schemas.microsoft.com/office/word/2010/wordprocessingShape">
                    <wps:wsp>
                      <wps:cNvSpPr txBox="1"/>
                      <wps:spPr>
                        <a:xfrm>
                          <a:off x="0" y="0"/>
                          <a:ext cx="4800600" cy="1463040"/>
                        </a:xfrm>
                        <a:prstGeom prst="rect">
                          <a:avLst/>
                        </a:prstGeom>
                        <a:noFill/>
                        <a:ln w="6350">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C818F" w14:textId="77777777" w:rsidR="008D1F42" w:rsidRPr="00DE69A6" w:rsidRDefault="008D1F42" w:rsidP="00123D7B">
                            <w:pPr>
                              <w:rPr>
                                <w:b/>
                                <w:i/>
                                <w:sz w:val="22"/>
                              </w:rPr>
                            </w:pPr>
                            <w:r>
                              <w:rPr>
                                <w:b/>
                                <w:i/>
                                <w:sz w:val="22"/>
                              </w:rPr>
                              <w:t>El programa del ensayo clínico AIDNPC consta de dos estudios:</w:t>
                            </w:r>
                          </w:p>
                          <w:p w14:paraId="6B33290F" w14:textId="77777777" w:rsidR="008D1F42" w:rsidRDefault="003748F6" w:rsidP="00DE69A6">
                            <w:pPr>
                              <w:pStyle w:val="ListParagraph"/>
                              <w:numPr>
                                <w:ilvl w:val="0"/>
                                <w:numId w:val="8"/>
                              </w:numPr>
                              <w:spacing w:before="120"/>
                              <w:ind w:left="360"/>
                              <w:rPr>
                                <w:b/>
                                <w:i/>
                                <w:sz w:val="22"/>
                              </w:rPr>
                            </w:pPr>
                            <w:r>
                              <w:rPr>
                                <w:b/>
                                <w:i/>
                                <w:sz w:val="22"/>
                              </w:rPr>
                              <w:t>En el estudio observacional ‘-001’ ya no se incluyen más pacientes.</w:t>
                            </w:r>
                          </w:p>
                          <w:p w14:paraId="24BB03AF" w14:textId="77777777" w:rsidR="008D1F42" w:rsidRPr="00DE69A6" w:rsidRDefault="008D1F42" w:rsidP="00DE69A6">
                            <w:pPr>
                              <w:rPr>
                                <w:b/>
                                <w:i/>
                                <w:sz w:val="4"/>
                                <w:szCs w:val="4"/>
                              </w:rPr>
                            </w:pPr>
                          </w:p>
                          <w:p w14:paraId="35892552" w14:textId="77777777" w:rsidR="008D1F42" w:rsidRPr="00DE69A6" w:rsidRDefault="008D1F42" w:rsidP="00B23EE4">
                            <w:pPr>
                              <w:pStyle w:val="ListParagraph"/>
                              <w:numPr>
                                <w:ilvl w:val="0"/>
                                <w:numId w:val="8"/>
                              </w:numPr>
                              <w:spacing w:before="60"/>
                              <w:ind w:left="360"/>
                              <w:rPr>
                                <w:b/>
                                <w:i/>
                                <w:sz w:val="22"/>
                              </w:rPr>
                            </w:pPr>
                            <w:r>
                              <w:rPr>
                                <w:b/>
                                <w:i/>
                                <w:sz w:val="22"/>
                              </w:rPr>
                              <w:t>El estudio de intervención ‘-002’ se está empezando en la actualidad en los países donde se ha obtenido la autorización. Los pacientes recibirán tres veces al día por vía oral el tratamiento con el fármaco del estudio controlado con placebo. Hay centros que todavía no pueden incluir pacientes.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7C741" id="_x0000_t202" coordsize="21600,21600" o:spt="202" path="m,l,21600r21600,l21600,xe">
                <v:stroke joinstyle="miter"/>
                <v:path gradientshapeok="t" o:connecttype="rect"/>
              </v:shapetype>
              <v:shape id="Text Box 2" o:spid="_x0000_s1026" type="#_x0000_t202" style="position:absolute;margin-left:27.3pt;margin-top:24.8pt;width:378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" filled="f" strokecolor="#a5a5a5 [2092]" strokeweight=".5pt">
                <v:textbox>
                  <w:txbxContent>
                    <w:p w14:paraId="6BEC818F" w14:textId="77777777" w:rsidR="008D1F42" w:rsidRPr="00DE69A6" w:rsidRDefault="008D1F42" w:rsidP="00123D7B">
                      <w:pPr>
                        <w:rPr>
                          <w:b/>
                          <w:i/>
                          <w:sz w:val="22"/>
                        </w:rPr>
                      </w:pPr>
                      <w:r>
                        <w:rPr>
                          <w:b/>
                          <w:i/>
                          <w:sz w:val="22"/>
                        </w:rPr>
                        <w:t>El programa del ensayo clínico AIDNPC consta de dos estudios:</w:t>
                      </w:r>
                    </w:p>
                    <w:p w14:paraId="6B33290F" w14:textId="77777777" w:rsidR="008D1F42" w:rsidRDefault="003748F6" w:rsidP="00DE69A6">
                      <w:pPr>
                        <w:pStyle w:val="ListParagraph"/>
                        <w:numPr>
                          <w:ilvl w:val="0"/>
                          <w:numId w:val="8"/>
                        </w:numPr>
                        <w:spacing w:before="120"/>
                        <w:ind w:left="360"/>
                        <w:rPr>
                          <w:b/>
                          <w:i/>
                          <w:sz w:val="22"/>
                        </w:rPr>
                      </w:pPr>
                      <w:r>
                        <w:rPr>
                          <w:b/>
                          <w:i/>
                          <w:sz w:val="22"/>
                        </w:rPr>
                        <w:t>En el estudio observacional ‘-001’ ya no se incluyen más pacientes.</w:t>
                      </w:r>
                    </w:p>
                    <w:p w14:paraId="24BB03AF" w14:textId="77777777" w:rsidR="008D1F42" w:rsidRPr="00DE69A6" w:rsidRDefault="008D1F42" w:rsidP="00DE69A6">
                      <w:pPr>
                        <w:rPr>
                          <w:b/>
                          <w:i/>
                          <w:sz w:val="4"/>
                          <w:szCs w:val="4"/>
                        </w:rPr>
                      </w:pPr>
                    </w:p>
                    <w:p w14:paraId="35892552" w14:textId="77777777" w:rsidR="008D1F42" w:rsidRPr="00DE69A6" w:rsidRDefault="008D1F42" w:rsidP="00B23EE4">
                      <w:pPr>
                        <w:pStyle w:val="ListParagraph"/>
                        <w:numPr>
                          <w:ilvl w:val="0"/>
                          <w:numId w:val="8"/>
                        </w:numPr>
                        <w:spacing w:before="60"/>
                        <w:ind w:left="360"/>
                        <w:rPr>
                          <w:b/>
                          <w:i/>
                          <w:sz w:val="22"/>
                        </w:rPr>
                      </w:pPr>
                      <w:r>
                        <w:rPr>
                          <w:b/>
                          <w:i/>
                          <w:sz w:val="22"/>
                        </w:rPr>
                        <w:t>El estudio de intervención ‘-002’ se está empezando en la actualidad en los países donde se ha obtenido la autorización. Los pacientes recibirán tres veces al día por vía oral el tratamiento con el fármaco del estudio controlado con placebo. Hay centros que todavía no pueden incluir pacientes.</w:t>
                      </w:r>
                    </w:p>
                  </w:txbxContent>
                </v:textbox>
                <w10:wrap type="topAndBottom"/>
              </v:shape>
            </w:pict>
          </mc:Fallback>
        </mc:AlternateContent>
      </w:r>
    </w:p>
    <w:p w14:paraId="61366042" w14:textId="77777777" w:rsidR="00DE69A6" w:rsidRPr="002129DC" w:rsidRDefault="00DE69A6">
      <w:pPr>
        <w:rPr>
          <w:rFonts w:ascii="Arial Black" w:hAnsi="Arial Black"/>
        </w:rPr>
      </w:pPr>
      <w:r>
        <w:lastRenderedPageBreak/>
        <w:br w:type="page"/>
      </w:r>
    </w:p>
    <w:p w14:paraId="7E17B843" w14:textId="77777777" w:rsidR="00536F90" w:rsidRPr="002129DC" w:rsidRDefault="00536F90" w:rsidP="00536F90">
      <w:pPr>
        <w:rPr>
          <w:rFonts w:ascii="Arial Black" w:hAnsi="Arial Black"/>
        </w:rPr>
      </w:pPr>
      <w:r>
        <w:rPr>
          <w:rFonts w:ascii="Arial Black" w:hAnsi="Arial Black"/>
        </w:rPr>
        <w:t>Inclusión de pacientes en el estudio de intervención 002</w:t>
      </w:r>
    </w:p>
    <w:p w14:paraId="6F04DEF1" w14:textId="7C9CE3D2" w:rsidR="002937D3" w:rsidRPr="002129DC" w:rsidRDefault="00811DFF" w:rsidP="002937D3">
      <w:r>
        <w:t>En la última conferencia telefónica realizada a finales de mes sobre el programa AIDNPC organizada por el promotor, Orphazyme ApS, se presentó la siguiente actualización sobre la inclusión de pacientes en el estudio ‘-002’. En el último mes, se han incluido 3 pacientes más en el estudio ‘-002’, lo que significa que, hasta la fecha, hay un total de 25 pacientes incluidos en los 8 centros europeos que han abierto para la inclusión de pacientes en el estudio ‘-002’. Los dos centros de Estados Unidos ya están abiertos para la inclusión de pacientes. De estos pacientes, 18 proceden del estudio ‘-001’ y los otros 7 se han incluido directamente en el estudio ‘-002’. En los centros donde se están resolviendo los últimos obstáculos jurídicos y regulatorios todavía hay 9 pacientes del estudio ‘-001’ a la espera de pasar al otro estudio. Hasta la fecha para el estudio ‘-002’ se han activado los siguientes centros:</w:t>
      </w:r>
    </w:p>
    <w:p w14:paraId="28E9C674" w14:textId="77777777" w:rsidR="002937D3" w:rsidRPr="006B17A6" w:rsidRDefault="002937D3" w:rsidP="002937D3"/>
    <w:p w14:paraId="2B6F1035" w14:textId="77777777" w:rsidR="002937D3" w:rsidRPr="006B17A6" w:rsidRDefault="002937D3" w:rsidP="002937D3">
      <w:pPr>
        <w:ind w:left="360"/>
        <w:sectPr w:rsidR="002937D3" w:rsidRPr="006B17A6" w:rsidSect="0083325E">
          <w:headerReference w:type="default" r:id="rId9"/>
          <w:footerReference w:type="default" r:id="rId10"/>
          <w:type w:val="continuous"/>
          <w:pgSz w:w="12240" w:h="15840"/>
          <w:pgMar w:top="1440" w:right="1800" w:bottom="1440" w:left="1800" w:header="720" w:footer="720" w:gutter="0"/>
          <w:cols w:space="720"/>
          <w:docGrid w:linePitch="360"/>
        </w:sectPr>
      </w:pPr>
    </w:p>
    <w:p w14:paraId="5ECD8058" w14:textId="77777777" w:rsidR="002937D3" w:rsidRPr="006B17A6" w:rsidRDefault="002937D3" w:rsidP="002937D3">
      <w:pPr>
        <w:ind w:left="360"/>
        <w:rPr>
          <w:lang w:val="en-GB"/>
        </w:rPr>
      </w:pPr>
      <w:r w:rsidRPr="006B17A6">
        <w:rPr>
          <w:lang w:val="en-GB"/>
        </w:rPr>
        <w:t>Copenhague (Dinamarca)</w:t>
      </w:r>
    </w:p>
    <w:p w14:paraId="0CC18790" w14:textId="77777777" w:rsidR="00C72F0A" w:rsidRPr="006B17A6" w:rsidRDefault="00C72F0A" w:rsidP="002937D3">
      <w:pPr>
        <w:ind w:left="360"/>
        <w:rPr>
          <w:lang w:val="en-GB"/>
        </w:rPr>
      </w:pPr>
      <w:r w:rsidRPr="006B17A6">
        <w:rPr>
          <w:lang w:val="en-GB"/>
        </w:rPr>
        <w:t>Birmingham, RU</w:t>
      </w:r>
    </w:p>
    <w:p w14:paraId="777A5FBF" w14:textId="77777777" w:rsidR="00482DFE" w:rsidRPr="006B17A6" w:rsidRDefault="00482DFE" w:rsidP="002937D3">
      <w:pPr>
        <w:ind w:left="360"/>
        <w:rPr>
          <w:lang w:val="en-GB"/>
        </w:rPr>
      </w:pPr>
      <w:r w:rsidRPr="006B17A6">
        <w:rPr>
          <w:lang w:val="en-GB"/>
        </w:rPr>
        <w:t>Great Ormond St, RU</w:t>
      </w:r>
    </w:p>
    <w:p w14:paraId="2CB82AAF" w14:textId="77777777" w:rsidR="00C72F0A" w:rsidRPr="006B17A6" w:rsidRDefault="00C72F0A" w:rsidP="002937D3">
      <w:pPr>
        <w:ind w:left="360"/>
        <w:rPr>
          <w:lang w:val="pt-BR"/>
        </w:rPr>
      </w:pPr>
      <w:r w:rsidRPr="006B17A6">
        <w:rPr>
          <w:lang w:val="pt-BR"/>
        </w:rPr>
        <w:t>Mainz, Alemania</w:t>
      </w:r>
    </w:p>
    <w:p w14:paraId="304A3EA3" w14:textId="77777777" w:rsidR="00C72F0A" w:rsidRPr="006B17A6" w:rsidRDefault="00C72F0A" w:rsidP="002937D3">
      <w:pPr>
        <w:ind w:left="360"/>
        <w:rPr>
          <w:lang w:val="pt-BR"/>
        </w:rPr>
      </w:pPr>
      <w:r w:rsidRPr="006B17A6">
        <w:rPr>
          <w:lang w:val="pt-BR"/>
        </w:rPr>
        <w:t>Múnich, Alemania</w:t>
      </w:r>
    </w:p>
    <w:p w14:paraId="2B51BC7F" w14:textId="77777777" w:rsidR="00C72F0A" w:rsidRPr="006B17A6" w:rsidRDefault="00C72F0A" w:rsidP="002937D3">
      <w:pPr>
        <w:ind w:left="360"/>
        <w:rPr>
          <w:lang w:val="pt-BR"/>
        </w:rPr>
      </w:pPr>
      <w:r w:rsidRPr="006B17A6">
        <w:rPr>
          <w:lang w:val="pt-BR"/>
        </w:rPr>
        <w:t>Paris, Francia</w:t>
      </w:r>
    </w:p>
    <w:p w14:paraId="79B92056" w14:textId="77777777" w:rsidR="00482DFE" w:rsidRDefault="00482DFE" w:rsidP="002937D3">
      <w:pPr>
        <w:ind w:left="360"/>
      </w:pPr>
      <w:r>
        <w:t>Barcelona, España</w:t>
      </w:r>
    </w:p>
    <w:p w14:paraId="4E1A7907" w14:textId="77777777" w:rsidR="00482DFE" w:rsidRDefault="00482DFE" w:rsidP="002937D3">
      <w:pPr>
        <w:ind w:left="360"/>
      </w:pPr>
      <w:r>
        <w:t>Varsovia, Polonia</w:t>
      </w:r>
    </w:p>
    <w:p w14:paraId="68A1F00F" w14:textId="2F75C8F0" w:rsidR="00482DFE" w:rsidRPr="00153348" w:rsidRDefault="00153348" w:rsidP="002937D3">
      <w:pPr>
        <w:ind w:left="360"/>
      </w:pPr>
      <w:r>
        <w:t>Rochester, MN (Estados Unidos)</w:t>
      </w:r>
    </w:p>
    <w:p w14:paraId="7EB846A1" w14:textId="2657483E" w:rsidR="00153348" w:rsidRPr="00153348" w:rsidRDefault="00153348" w:rsidP="002937D3">
      <w:pPr>
        <w:ind w:left="360"/>
      </w:pPr>
      <w:r>
        <w:t>Oakland, CA (Estados Unidos)</w:t>
      </w:r>
    </w:p>
    <w:p w14:paraId="27836C95" w14:textId="77777777" w:rsidR="002937D3" w:rsidRPr="00153348" w:rsidRDefault="002937D3" w:rsidP="002937D3">
      <w:pPr>
        <w:ind w:left="360"/>
        <w:rPr>
          <w:lang w:val="da-DK"/>
        </w:rPr>
        <w:sectPr w:rsidR="002937D3" w:rsidRPr="00153348" w:rsidSect="00DE69A6">
          <w:type w:val="continuous"/>
          <w:pgSz w:w="12240" w:h="15840"/>
          <w:pgMar w:top="1440" w:right="1800" w:bottom="1440" w:left="1800" w:header="720" w:footer="720" w:gutter="0"/>
          <w:cols w:num="3" w:space="288"/>
          <w:docGrid w:linePitch="360"/>
        </w:sectPr>
      </w:pPr>
    </w:p>
    <w:p w14:paraId="77E950A4" w14:textId="77777777" w:rsidR="002937D3" w:rsidRPr="00153348" w:rsidRDefault="002937D3" w:rsidP="002937D3">
      <w:pPr>
        <w:rPr>
          <w:lang w:val="da-DK"/>
        </w:rPr>
      </w:pPr>
    </w:p>
    <w:p w14:paraId="4CC78C7A" w14:textId="3394F560" w:rsidR="00D2295C" w:rsidRDefault="00C851FF" w:rsidP="000F74B5">
      <w:r>
        <w:t>El número total de pacientes que se tiene previsto incluir es de 46.</w:t>
      </w:r>
    </w:p>
    <w:p w14:paraId="1E65098D" w14:textId="77777777" w:rsidR="00D2295C" w:rsidRPr="006B17A6" w:rsidRDefault="00D2295C" w:rsidP="000F74B5"/>
    <w:p w14:paraId="252C28E9" w14:textId="01B79952" w:rsidR="00C72F0A" w:rsidRDefault="00C72F0A" w:rsidP="000F74B5">
      <w:r>
        <w:t xml:space="preserve">Orphazyme les informa que continuamos trabajando en la preparación de todos los centros a fin de incluir a todos los pacientes tan pronto como sea posible, y esperamos haber incluido a todos los pacientes a principios de la primavera. </w:t>
      </w:r>
    </w:p>
    <w:p w14:paraId="70384922" w14:textId="77777777" w:rsidR="00B52D53" w:rsidRPr="006B17A6" w:rsidRDefault="00B52D53" w:rsidP="00B52D53"/>
    <w:p w14:paraId="5C3173E7" w14:textId="3E27E744" w:rsidR="00B52D53" w:rsidRDefault="00B52D53" w:rsidP="000F74B5">
      <w:r>
        <w:t xml:space="preserve">Para hacer un seguimiento del estado de la inclusión de pacientes y obtener información de contacto detallada de cada uno de los centros clínicos del programa AIDNPC, visite </w:t>
      </w:r>
      <w:hyperlink r:id="rId11" w:history="1">
        <w:r>
          <w:rPr>
            <w:rStyle w:val="Hyperlink"/>
          </w:rPr>
          <w:t>www.ClinicalTrials.gov</w:t>
        </w:r>
      </w:hyperlink>
      <w:r>
        <w:t xml:space="preserve"> y utilice el identificador </w:t>
      </w:r>
      <w:hyperlink r:id="rId12" w:history="1">
        <w:r>
          <w:rPr>
            <w:rStyle w:val="Hyperlink"/>
          </w:rPr>
          <w:t>NCT02612129</w:t>
        </w:r>
      </w:hyperlink>
      <w:r>
        <w:t>.</w:t>
      </w:r>
    </w:p>
    <w:p w14:paraId="1CF8A8CF" w14:textId="77777777" w:rsidR="00B52D53" w:rsidRPr="006B17A6" w:rsidRDefault="00B52D53" w:rsidP="000F74B5"/>
    <w:p w14:paraId="0A017D2F" w14:textId="33FF5B4B" w:rsidR="00B52D53" w:rsidRPr="003C6D81" w:rsidRDefault="00B52D53" w:rsidP="00B52D53">
      <w:pPr>
        <w:keepNext/>
        <w:rPr>
          <w:rFonts w:ascii="Arial Black" w:hAnsi="Arial Black"/>
        </w:rPr>
      </w:pPr>
      <w:r>
        <w:rPr>
          <w:rFonts w:ascii="Arial Black" w:hAnsi="Arial Black"/>
        </w:rPr>
        <w:t>Orphazyme ha sido presentada en la conferencia MUNDIAL (San Diego)</w:t>
      </w:r>
    </w:p>
    <w:p w14:paraId="762C27D9" w14:textId="008CA804" w:rsidR="00B52D53" w:rsidRPr="002129DC" w:rsidRDefault="00B52D53" w:rsidP="00B52D53">
      <w:pPr>
        <w:keepNext/>
      </w:pPr>
      <w:r>
        <w:t xml:space="preserve">El Dr. Thomas Kirkegaard Jensen, Director científico de Orphazyme, ponente en el 13.º simposio MUNDIAL anual en San Diego (Estados Unidos) que tuvo lugar del 13 al 17 de febrero de 2017, y la compañía tuvieron la oportunidad de encontrarse e interactuar con las partes interesadas de todo el mundo. </w:t>
      </w:r>
    </w:p>
    <w:p w14:paraId="73F4260C" w14:textId="77777777" w:rsidR="001D0EB7" w:rsidRPr="006B17A6" w:rsidRDefault="001D0EB7" w:rsidP="00156C82">
      <w:pPr>
        <w:jc w:val="center"/>
      </w:pPr>
    </w:p>
    <w:p w14:paraId="158AE0F7" w14:textId="45A7AFBA" w:rsidR="00B52D53" w:rsidRPr="003C6D81" w:rsidRDefault="00156C82" w:rsidP="00B52D53">
      <w:pPr>
        <w:keepNext/>
        <w:rPr>
          <w:rFonts w:ascii="Arial Black" w:hAnsi="Arial Black"/>
        </w:rPr>
      </w:pPr>
      <w:r>
        <w:rPr>
          <w:rFonts w:ascii="Arial Black" w:hAnsi="Arial Black"/>
        </w:rPr>
        <w:t>Nueva frecuencia de las reuniones por videoconferencia una vez incluidos todos los pacientes en el estudio</w:t>
      </w:r>
    </w:p>
    <w:p w14:paraId="0BE53089" w14:textId="6C5A17EF" w:rsidR="00B52D53" w:rsidRPr="002129DC" w:rsidRDefault="00156C82" w:rsidP="00B52D53">
      <w:pPr>
        <w:keepNext/>
      </w:pPr>
      <w:r>
        <w:t>Dado que la inclusión de pacientes en el estudio AIDNPC está a punto de completarse, Orphazyme propone cambiar la frecuencia mensual de las videoconferencias en las que se presentan las actualizaciones. La propuesta es realizar las actualizaciones trimestralmente una vez se haya incluido el último paciente. La compañía solicita a las organizaciones de pacientes que compartan sus opiniones sobre el cambio propuesto en la frecuencia de las videoconferencias.</w:t>
      </w:r>
    </w:p>
    <w:p w14:paraId="78647FBC" w14:textId="77777777" w:rsidR="001D0EB7" w:rsidRPr="006B17A6" w:rsidRDefault="001D0EB7" w:rsidP="00186E9E"/>
    <w:p w14:paraId="69727BCE" w14:textId="77777777" w:rsidR="003C6D81" w:rsidRPr="003C6D81" w:rsidRDefault="003C6D81" w:rsidP="00B52D53">
      <w:pPr>
        <w:rPr>
          <w:rFonts w:ascii="Arial Black" w:hAnsi="Arial Black"/>
        </w:rPr>
      </w:pPr>
      <w:r>
        <w:rPr>
          <w:rFonts w:ascii="Arial Black" w:hAnsi="Arial Black"/>
        </w:rPr>
        <w:t>Resumen del diseño clínico</w:t>
      </w:r>
    </w:p>
    <w:p w14:paraId="68048A71" w14:textId="77777777" w:rsidR="00BE0C1D" w:rsidRPr="002129DC" w:rsidRDefault="00D32AE3" w:rsidP="00B52D53">
      <w:r>
        <w:t>En el siguiente gráfico se ilustra el diseño del estudio ‘-002’, incluido el número y las veces que los pacientes acuden a las visitas a los centros. Los pacientes que presenten una tasa inaceptable de progresión de la enfermedad disponen de una ruta de escape.</w:t>
      </w:r>
    </w:p>
    <w:p w14:paraId="113FED84" w14:textId="77777777" w:rsidR="00625ED5" w:rsidRPr="006B17A6" w:rsidRDefault="00625ED5" w:rsidP="00B52D53"/>
    <w:p w14:paraId="5949E926" w14:textId="0DB50457" w:rsidR="00966035" w:rsidRPr="002129DC" w:rsidRDefault="006B17A6" w:rsidP="00186E9E">
      <w:pPr>
        <w:rPr>
          <w:lang w:val="en-GB"/>
        </w:rPr>
      </w:pPr>
      <w:r>
        <w:rPr>
          <w:noProof/>
          <w:lang w:val="en-GB" w:eastAsia="ko-KR"/>
        </w:rPr>
        <w:drawing>
          <wp:inline distT="0" distB="0" distL="0" distR="0" wp14:anchorId="2D502D49" wp14:editId="08880DC4">
            <wp:extent cx="5486400" cy="308229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486400" cy="3082290"/>
                    </a:xfrm>
                    <a:prstGeom prst="rect">
                      <a:avLst/>
                    </a:prstGeom>
                  </pic:spPr>
                </pic:pic>
              </a:graphicData>
            </a:graphic>
          </wp:inline>
        </w:drawing>
      </w:r>
      <w:bookmarkStart w:id="0" w:name="_GoBack"/>
      <w:bookmarkEnd w:id="0"/>
    </w:p>
    <w:p w14:paraId="038240C2" w14:textId="77777777" w:rsidR="00F500DB" w:rsidRPr="002129DC" w:rsidRDefault="00F500DB" w:rsidP="00F500DB">
      <w:pPr>
        <w:rPr>
          <w:lang w:val="en-GB"/>
        </w:rPr>
      </w:pPr>
    </w:p>
    <w:p w14:paraId="36FAFFCF" w14:textId="77777777" w:rsidR="00F500DB" w:rsidRPr="002129DC" w:rsidRDefault="00F500DB" w:rsidP="00F500DB">
      <w:pPr>
        <w:rPr>
          <w:b/>
          <w:i/>
        </w:rPr>
      </w:pPr>
      <w:r>
        <w:rPr>
          <w:b/>
          <w:i/>
        </w:rPr>
        <w:t>Desde aquí fomentamos el intercambio de la información anterior con el grupo de pacientes.</w:t>
      </w:r>
    </w:p>
    <w:p w14:paraId="56347DEB" w14:textId="77777777" w:rsidR="00852FC2" w:rsidRPr="006B17A6" w:rsidRDefault="00852FC2" w:rsidP="00D11F69"/>
    <w:p w14:paraId="36CF726B" w14:textId="77777777" w:rsidR="00852FC2" w:rsidRPr="006B17A6" w:rsidRDefault="00852FC2" w:rsidP="00D11F69"/>
    <w:p w14:paraId="4F6548BD" w14:textId="77777777" w:rsidR="00D51BD7" w:rsidRPr="002129DC" w:rsidRDefault="00D51BD7" w:rsidP="00D11F69">
      <w:pPr>
        <w:rPr>
          <w:rFonts w:ascii="Arial Black" w:hAnsi="Arial Black"/>
        </w:rPr>
      </w:pPr>
      <w:r>
        <w:rPr>
          <w:rFonts w:ascii="Arial Black" w:hAnsi="Arial Black"/>
        </w:rPr>
        <w:t>Siguiente llamada:</w:t>
      </w:r>
    </w:p>
    <w:p w14:paraId="7BA45AA4" w14:textId="10E1AD8C" w:rsidR="00D11F69" w:rsidRPr="002129DC" w:rsidRDefault="004E1852" w:rsidP="00D11F69">
      <w:r>
        <w:t>La siguiente llamada de AIDNPC está programada para el jueves 30 de marzo de 2017 a las 15:00 EST (21:00 CET).</w:t>
      </w:r>
    </w:p>
    <w:p w14:paraId="6B363991" w14:textId="77777777" w:rsidR="00FD17B0" w:rsidRPr="006B17A6" w:rsidRDefault="00FD17B0" w:rsidP="00D11F69"/>
    <w:p w14:paraId="1A4B5069" w14:textId="77777777" w:rsidR="00FD17B0" w:rsidRPr="006B17A6" w:rsidRDefault="00FD17B0" w:rsidP="00D11F69"/>
    <w:p w14:paraId="565892CD" w14:textId="77777777" w:rsidR="00F500DB" w:rsidRPr="002129DC" w:rsidRDefault="00FD17B0">
      <w:pPr>
        <w:rPr>
          <w:rFonts w:ascii="Cambria" w:eastAsia="MS Mincho" w:hAnsi="Cambria" w:cs="Times New Roman"/>
        </w:rPr>
      </w:pPr>
      <w:r>
        <w:rPr>
          <w:rFonts w:ascii="Cambria" w:hAnsi="Cambria"/>
        </w:rPr>
        <w:t xml:space="preserve">Visite la página web del programa clínico AIDNPC: </w:t>
      </w:r>
      <w:hyperlink r:id="rId14" w:history="1">
        <w:r>
          <w:rPr>
            <w:rStyle w:val="Hyperlink"/>
            <w:rFonts w:ascii="Cambria" w:hAnsi="Cambria"/>
          </w:rPr>
          <w:t>www.AIDNPC.com</w:t>
        </w:r>
      </w:hyperlink>
      <w:r>
        <w:rPr>
          <w:rFonts w:ascii="Cambria" w:hAnsi="Cambria"/>
        </w:rPr>
        <w:t xml:space="preserve">  </w:t>
      </w:r>
    </w:p>
    <w:sectPr w:rsidR="00F500DB" w:rsidRPr="002129DC" w:rsidSect="0083325E">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AD3E" w14:textId="77777777" w:rsidR="00653C30" w:rsidRDefault="00653C30" w:rsidP="005839DC">
      <w:r>
        <w:separator/>
      </w:r>
    </w:p>
  </w:endnote>
  <w:endnote w:type="continuationSeparator" w:id="0">
    <w:p w14:paraId="01D8AA85" w14:textId="77777777" w:rsidR="00653C30" w:rsidRDefault="00653C30" w:rsidP="0058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8195" w14:textId="77777777" w:rsidR="008D1F42" w:rsidRDefault="008D1F42">
    <w:pPr>
      <w:pStyle w:val="Footer"/>
    </w:pPr>
    <w:r>
      <w:rPr>
        <w:noProof/>
        <w:lang w:val="en-GB" w:eastAsia="ko-KR"/>
      </w:rPr>
      <w:drawing>
        <wp:anchor distT="0" distB="0" distL="114300" distR="114300" simplePos="0" relativeHeight="251663360" behindDoc="0" locked="0" layoutInCell="1" allowOverlap="1" wp14:anchorId="2859C89A" wp14:editId="17718467">
          <wp:simplePos x="0" y="0"/>
          <wp:positionH relativeFrom="page">
            <wp:posOffset>7200900</wp:posOffset>
          </wp:positionH>
          <wp:positionV relativeFrom="page">
            <wp:posOffset>6972300</wp:posOffset>
          </wp:positionV>
          <wp:extent cx="647700" cy="2228215"/>
          <wp:effectExtent l="0" t="0" r="1270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sser.emf"/>
                  <pic:cNvPicPr/>
                </pic:nvPicPr>
                <pic:blipFill>
                  <a:blip r:embed="rId1">
                    <a:extLst>
                      <a:ext uri="{28A0092B-C50C-407E-A947-70E740481C1C}">
                        <a14:useLocalDpi xmlns:a14="http://schemas.microsoft.com/office/drawing/2010/main" val="0"/>
                      </a:ext>
                    </a:extLst>
                  </a:blip>
                  <a:stretch>
                    <a:fillRect/>
                  </a:stretch>
                </pic:blipFill>
                <pic:spPr>
                  <a:xfrm>
                    <a:off x="0" y="0"/>
                    <a:ext cx="647700" cy="22282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5127" w14:textId="77777777" w:rsidR="008D1F42" w:rsidRDefault="008D1F42">
    <w:pPr>
      <w:pStyle w:val="Footer"/>
    </w:pPr>
    <w:r>
      <w:rPr>
        <w:noProof/>
        <w:lang w:val="en-GB" w:eastAsia="ko-KR"/>
      </w:rPr>
      <w:drawing>
        <wp:anchor distT="0" distB="0" distL="114300" distR="114300" simplePos="0" relativeHeight="251659264" behindDoc="0" locked="0" layoutInCell="1" allowOverlap="1" wp14:anchorId="78F12FB1" wp14:editId="57BF960E">
          <wp:simplePos x="0" y="0"/>
          <wp:positionH relativeFrom="page">
            <wp:posOffset>7200900</wp:posOffset>
          </wp:positionH>
          <wp:positionV relativeFrom="page">
            <wp:posOffset>6972300</wp:posOffset>
          </wp:positionV>
          <wp:extent cx="647700" cy="2228215"/>
          <wp:effectExtent l="0" t="0" r="1270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sser.emf"/>
                  <pic:cNvPicPr/>
                </pic:nvPicPr>
                <pic:blipFill>
                  <a:blip r:embed="rId1">
                    <a:extLst>
                      <a:ext uri="{28A0092B-C50C-407E-A947-70E740481C1C}">
                        <a14:useLocalDpi xmlns:a14="http://schemas.microsoft.com/office/drawing/2010/main" val="0"/>
                      </a:ext>
                    </a:extLst>
                  </a:blip>
                  <a:stretch>
                    <a:fillRect/>
                  </a:stretch>
                </pic:blipFill>
                <pic:spPr>
                  <a:xfrm>
                    <a:off x="0" y="0"/>
                    <a:ext cx="647700" cy="2228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E01C" w14:textId="77777777" w:rsidR="00653C30" w:rsidRDefault="00653C30" w:rsidP="005839DC">
      <w:r>
        <w:separator/>
      </w:r>
    </w:p>
  </w:footnote>
  <w:footnote w:type="continuationSeparator" w:id="0">
    <w:p w14:paraId="18A61819" w14:textId="77777777" w:rsidR="00653C30" w:rsidRDefault="00653C30" w:rsidP="0058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3D6B" w14:textId="77777777" w:rsidR="008D1F42" w:rsidRDefault="008D1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0769" w14:textId="77777777" w:rsidR="008D1F42" w:rsidRDefault="008D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2.35pt;height:132.3pt" o:bullet="t">
        <v:imagedata r:id="rId1" o:title="OZ"/>
      </v:shape>
    </w:pict>
  </w:numPicBullet>
  <w:abstractNum w:abstractNumId="0" w15:restartNumberingAfterBreak="0">
    <w:nsid w:val="01C04DDE"/>
    <w:multiLevelType w:val="hybridMultilevel"/>
    <w:tmpl w:val="CB7A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0930"/>
    <w:multiLevelType w:val="hybridMultilevel"/>
    <w:tmpl w:val="50182958"/>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2959"/>
    <w:multiLevelType w:val="hybridMultilevel"/>
    <w:tmpl w:val="CB7A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62BC3"/>
    <w:multiLevelType w:val="hybridMultilevel"/>
    <w:tmpl w:val="419A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C129E"/>
    <w:multiLevelType w:val="hybridMultilevel"/>
    <w:tmpl w:val="C8CE02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733CE"/>
    <w:multiLevelType w:val="hybridMultilevel"/>
    <w:tmpl w:val="6090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861869"/>
    <w:multiLevelType w:val="hybridMultilevel"/>
    <w:tmpl w:val="48BC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70B68"/>
    <w:multiLevelType w:val="hybridMultilevel"/>
    <w:tmpl w:val="863E85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520C1"/>
    <w:multiLevelType w:val="hybridMultilevel"/>
    <w:tmpl w:val="AC7C9D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67B8B"/>
    <w:multiLevelType w:val="hybridMultilevel"/>
    <w:tmpl w:val="BEF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77CC4"/>
    <w:multiLevelType w:val="hybridMultilevel"/>
    <w:tmpl w:val="6080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A206E"/>
    <w:multiLevelType w:val="hybridMultilevel"/>
    <w:tmpl w:val="911AFBCE"/>
    <w:lvl w:ilvl="0" w:tplc="17F8CAD4">
      <w:start w:val="1"/>
      <w:numFmt w:val="bullet"/>
      <w:lvlText w:val=""/>
      <w:lvlPicBulletId w:val="0"/>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61C62"/>
    <w:multiLevelType w:val="hybridMultilevel"/>
    <w:tmpl w:val="3DAA1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1"/>
  </w:num>
  <w:num w:numId="7">
    <w:abstractNumId w:val="0"/>
  </w:num>
  <w:num w:numId="8">
    <w:abstractNumId w:val="3"/>
  </w:num>
  <w:num w:numId="9">
    <w:abstractNumId w:val="11"/>
  </w:num>
  <w:num w:numId="10">
    <w:abstractNumId w:val="9"/>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D1"/>
    <w:rsid w:val="000009E2"/>
    <w:rsid w:val="00011354"/>
    <w:rsid w:val="00015345"/>
    <w:rsid w:val="0004317E"/>
    <w:rsid w:val="000C2023"/>
    <w:rsid w:val="000F74B5"/>
    <w:rsid w:val="00100472"/>
    <w:rsid w:val="00105E19"/>
    <w:rsid w:val="0010717C"/>
    <w:rsid w:val="00120A71"/>
    <w:rsid w:val="00123D7B"/>
    <w:rsid w:val="00132FF9"/>
    <w:rsid w:val="00153348"/>
    <w:rsid w:val="00156C82"/>
    <w:rsid w:val="00184A68"/>
    <w:rsid w:val="00186E9E"/>
    <w:rsid w:val="001C3972"/>
    <w:rsid w:val="001D0EB7"/>
    <w:rsid w:val="002129DC"/>
    <w:rsid w:val="0022714B"/>
    <w:rsid w:val="00242928"/>
    <w:rsid w:val="002525FE"/>
    <w:rsid w:val="00253FB0"/>
    <w:rsid w:val="00254190"/>
    <w:rsid w:val="00254CB8"/>
    <w:rsid w:val="00277CBC"/>
    <w:rsid w:val="002937D3"/>
    <w:rsid w:val="002B18A6"/>
    <w:rsid w:val="002B7ED4"/>
    <w:rsid w:val="00346AAD"/>
    <w:rsid w:val="00353680"/>
    <w:rsid w:val="00360434"/>
    <w:rsid w:val="0036353A"/>
    <w:rsid w:val="003748F6"/>
    <w:rsid w:val="0039399E"/>
    <w:rsid w:val="003A7387"/>
    <w:rsid w:val="003C6D81"/>
    <w:rsid w:val="003D3F43"/>
    <w:rsid w:val="003E0A02"/>
    <w:rsid w:val="003E2A23"/>
    <w:rsid w:val="0042194B"/>
    <w:rsid w:val="00465A8F"/>
    <w:rsid w:val="00466D92"/>
    <w:rsid w:val="00472CCB"/>
    <w:rsid w:val="00482DFE"/>
    <w:rsid w:val="0049387F"/>
    <w:rsid w:val="004953CF"/>
    <w:rsid w:val="004B4AAA"/>
    <w:rsid w:val="004E1852"/>
    <w:rsid w:val="004E205A"/>
    <w:rsid w:val="00500340"/>
    <w:rsid w:val="00522126"/>
    <w:rsid w:val="00536F90"/>
    <w:rsid w:val="00575A46"/>
    <w:rsid w:val="005806DA"/>
    <w:rsid w:val="005839DC"/>
    <w:rsid w:val="005843AB"/>
    <w:rsid w:val="00584555"/>
    <w:rsid w:val="00592DD9"/>
    <w:rsid w:val="005A4C70"/>
    <w:rsid w:val="005C1865"/>
    <w:rsid w:val="005F5F09"/>
    <w:rsid w:val="00607459"/>
    <w:rsid w:val="00612EC7"/>
    <w:rsid w:val="00621F97"/>
    <w:rsid w:val="00625ED5"/>
    <w:rsid w:val="00653C30"/>
    <w:rsid w:val="00655912"/>
    <w:rsid w:val="006606DF"/>
    <w:rsid w:val="0068027E"/>
    <w:rsid w:val="006A41E3"/>
    <w:rsid w:val="006B17A6"/>
    <w:rsid w:val="006C5F08"/>
    <w:rsid w:val="006D2227"/>
    <w:rsid w:val="006E1B51"/>
    <w:rsid w:val="006F75CA"/>
    <w:rsid w:val="00705A59"/>
    <w:rsid w:val="00722902"/>
    <w:rsid w:val="007247CC"/>
    <w:rsid w:val="00750E91"/>
    <w:rsid w:val="0076095E"/>
    <w:rsid w:val="00781053"/>
    <w:rsid w:val="00787A10"/>
    <w:rsid w:val="007C05BF"/>
    <w:rsid w:val="00811DFF"/>
    <w:rsid w:val="00831B50"/>
    <w:rsid w:val="0083213E"/>
    <w:rsid w:val="0083325E"/>
    <w:rsid w:val="00836076"/>
    <w:rsid w:val="00852FC2"/>
    <w:rsid w:val="008A5AB5"/>
    <w:rsid w:val="008B052A"/>
    <w:rsid w:val="008C55D4"/>
    <w:rsid w:val="008D1F42"/>
    <w:rsid w:val="008E6546"/>
    <w:rsid w:val="0090192C"/>
    <w:rsid w:val="00927D85"/>
    <w:rsid w:val="009556E7"/>
    <w:rsid w:val="00966035"/>
    <w:rsid w:val="00991556"/>
    <w:rsid w:val="00997BE2"/>
    <w:rsid w:val="00A008B1"/>
    <w:rsid w:val="00A1386C"/>
    <w:rsid w:val="00A23684"/>
    <w:rsid w:val="00A26A10"/>
    <w:rsid w:val="00A34084"/>
    <w:rsid w:val="00A53B91"/>
    <w:rsid w:val="00A8395F"/>
    <w:rsid w:val="00A85E7F"/>
    <w:rsid w:val="00A8723F"/>
    <w:rsid w:val="00B157E4"/>
    <w:rsid w:val="00B205B2"/>
    <w:rsid w:val="00B23EE4"/>
    <w:rsid w:val="00B33644"/>
    <w:rsid w:val="00B52D53"/>
    <w:rsid w:val="00B721CB"/>
    <w:rsid w:val="00BA231D"/>
    <w:rsid w:val="00BB2B35"/>
    <w:rsid w:val="00BB6AA6"/>
    <w:rsid w:val="00BC60E2"/>
    <w:rsid w:val="00BC6357"/>
    <w:rsid w:val="00BE0C1D"/>
    <w:rsid w:val="00BE3B47"/>
    <w:rsid w:val="00BF5993"/>
    <w:rsid w:val="00C05867"/>
    <w:rsid w:val="00C13151"/>
    <w:rsid w:val="00C47566"/>
    <w:rsid w:val="00C72F0A"/>
    <w:rsid w:val="00C851FF"/>
    <w:rsid w:val="00CA7B23"/>
    <w:rsid w:val="00CB1CD0"/>
    <w:rsid w:val="00CE372F"/>
    <w:rsid w:val="00CF0478"/>
    <w:rsid w:val="00D11F69"/>
    <w:rsid w:val="00D2295C"/>
    <w:rsid w:val="00D32AE3"/>
    <w:rsid w:val="00D51BD7"/>
    <w:rsid w:val="00D87AA4"/>
    <w:rsid w:val="00DB1940"/>
    <w:rsid w:val="00DD017F"/>
    <w:rsid w:val="00DD7C23"/>
    <w:rsid w:val="00DE5869"/>
    <w:rsid w:val="00DE69A6"/>
    <w:rsid w:val="00E227A5"/>
    <w:rsid w:val="00E40CC9"/>
    <w:rsid w:val="00E47BBC"/>
    <w:rsid w:val="00E93CD1"/>
    <w:rsid w:val="00EF03D1"/>
    <w:rsid w:val="00EF117B"/>
    <w:rsid w:val="00EF2B47"/>
    <w:rsid w:val="00F13F14"/>
    <w:rsid w:val="00F2006F"/>
    <w:rsid w:val="00F3675C"/>
    <w:rsid w:val="00F500DB"/>
    <w:rsid w:val="00FB2E6C"/>
    <w:rsid w:val="00FD17B0"/>
    <w:rsid w:val="00FF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760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D1"/>
    <w:pPr>
      <w:ind w:left="720"/>
      <w:contextualSpacing/>
    </w:pPr>
  </w:style>
  <w:style w:type="character" w:styleId="Hyperlink">
    <w:name w:val="Hyperlink"/>
    <w:basedOn w:val="DefaultParagraphFont"/>
    <w:uiPriority w:val="99"/>
    <w:unhideWhenUsed/>
    <w:rsid w:val="00927D85"/>
    <w:rPr>
      <w:color w:val="0000FF" w:themeColor="hyperlink"/>
      <w:u w:val="single"/>
    </w:rPr>
  </w:style>
  <w:style w:type="paragraph" w:styleId="BalloonText">
    <w:name w:val="Balloon Text"/>
    <w:basedOn w:val="Normal"/>
    <w:link w:val="BalloonTextChar"/>
    <w:uiPriority w:val="99"/>
    <w:semiHidden/>
    <w:unhideWhenUsed/>
    <w:rsid w:val="0022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14B"/>
    <w:rPr>
      <w:rFonts w:ascii="Lucida Grande" w:hAnsi="Lucida Grande" w:cs="Lucida Grande"/>
      <w:sz w:val="18"/>
      <w:szCs w:val="18"/>
    </w:rPr>
  </w:style>
  <w:style w:type="paragraph" w:styleId="Header">
    <w:name w:val="header"/>
    <w:basedOn w:val="Normal"/>
    <w:link w:val="HeaderChar"/>
    <w:uiPriority w:val="99"/>
    <w:unhideWhenUsed/>
    <w:rsid w:val="005839DC"/>
    <w:pPr>
      <w:tabs>
        <w:tab w:val="center" w:pos="4320"/>
        <w:tab w:val="right" w:pos="8640"/>
      </w:tabs>
    </w:pPr>
  </w:style>
  <w:style w:type="character" w:customStyle="1" w:styleId="HeaderChar">
    <w:name w:val="Header Char"/>
    <w:basedOn w:val="DefaultParagraphFont"/>
    <w:link w:val="Header"/>
    <w:uiPriority w:val="99"/>
    <w:rsid w:val="005839DC"/>
  </w:style>
  <w:style w:type="paragraph" w:styleId="Footer">
    <w:name w:val="footer"/>
    <w:basedOn w:val="Normal"/>
    <w:link w:val="FooterChar"/>
    <w:uiPriority w:val="99"/>
    <w:unhideWhenUsed/>
    <w:rsid w:val="005839DC"/>
    <w:pPr>
      <w:tabs>
        <w:tab w:val="center" w:pos="4320"/>
        <w:tab w:val="right" w:pos="8640"/>
      </w:tabs>
    </w:pPr>
  </w:style>
  <w:style w:type="character" w:customStyle="1" w:styleId="FooterChar">
    <w:name w:val="Footer Char"/>
    <w:basedOn w:val="DefaultParagraphFont"/>
    <w:link w:val="Footer"/>
    <w:uiPriority w:val="99"/>
    <w:rsid w:val="005839DC"/>
  </w:style>
  <w:style w:type="paragraph" w:styleId="NormalWeb">
    <w:name w:val="Normal (Web)"/>
    <w:basedOn w:val="Normal"/>
    <w:uiPriority w:val="99"/>
    <w:semiHidden/>
    <w:unhideWhenUsed/>
    <w:rsid w:val="0076095E"/>
    <w:rPr>
      <w:rFonts w:ascii="Times New Roman" w:hAnsi="Times New Roman" w:cs="Times New Roman"/>
    </w:rPr>
  </w:style>
  <w:style w:type="character" w:styleId="FollowedHyperlink">
    <w:name w:val="FollowedHyperlink"/>
    <w:basedOn w:val="DefaultParagraphFont"/>
    <w:uiPriority w:val="99"/>
    <w:semiHidden/>
    <w:unhideWhenUsed/>
    <w:rsid w:val="002B18A6"/>
    <w:rPr>
      <w:color w:val="800080" w:themeColor="followedHyperlink"/>
      <w:u w:val="single"/>
    </w:rPr>
  </w:style>
  <w:style w:type="character" w:styleId="CommentReference">
    <w:name w:val="annotation reference"/>
    <w:basedOn w:val="DefaultParagraphFont"/>
    <w:uiPriority w:val="99"/>
    <w:semiHidden/>
    <w:unhideWhenUsed/>
    <w:rsid w:val="00C851FF"/>
    <w:rPr>
      <w:sz w:val="18"/>
      <w:szCs w:val="18"/>
    </w:rPr>
  </w:style>
  <w:style w:type="paragraph" w:styleId="CommentText">
    <w:name w:val="annotation text"/>
    <w:basedOn w:val="Normal"/>
    <w:link w:val="CommentTextChar"/>
    <w:uiPriority w:val="99"/>
    <w:semiHidden/>
    <w:unhideWhenUsed/>
    <w:rsid w:val="00C851FF"/>
  </w:style>
  <w:style w:type="character" w:customStyle="1" w:styleId="CommentTextChar">
    <w:name w:val="Comment Text Char"/>
    <w:basedOn w:val="DefaultParagraphFont"/>
    <w:link w:val="CommentText"/>
    <w:uiPriority w:val="99"/>
    <w:semiHidden/>
    <w:rsid w:val="00C851FF"/>
  </w:style>
  <w:style w:type="paragraph" w:styleId="CommentSubject">
    <w:name w:val="annotation subject"/>
    <w:basedOn w:val="CommentText"/>
    <w:next w:val="CommentText"/>
    <w:link w:val="CommentSubjectChar"/>
    <w:uiPriority w:val="99"/>
    <w:semiHidden/>
    <w:unhideWhenUsed/>
    <w:rsid w:val="00C851FF"/>
    <w:rPr>
      <w:b/>
      <w:bCs/>
      <w:sz w:val="20"/>
      <w:szCs w:val="20"/>
    </w:rPr>
  </w:style>
  <w:style w:type="character" w:customStyle="1" w:styleId="CommentSubjectChar">
    <w:name w:val="Comment Subject Char"/>
    <w:basedOn w:val="CommentTextChar"/>
    <w:link w:val="CommentSubject"/>
    <w:uiPriority w:val="99"/>
    <w:semiHidden/>
    <w:rsid w:val="00C851FF"/>
    <w:rPr>
      <w:b/>
      <w:bCs/>
      <w:sz w:val="20"/>
      <w:szCs w:val="20"/>
    </w:rPr>
  </w:style>
  <w:style w:type="paragraph" w:styleId="Revision">
    <w:name w:val="Revision"/>
    <w:hidden/>
    <w:uiPriority w:val="99"/>
    <w:semiHidden/>
    <w:rsid w:val="00C8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2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clinicaltrials.gov/ct2/show/NCT02612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IDNP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Quaade</dc:creator>
  <cp:keywords/>
  <dc:description/>
  <cp:lastModifiedBy>Sam Bennett</cp:lastModifiedBy>
  <cp:revision>2</cp:revision>
  <cp:lastPrinted>2016-09-23T11:43:00Z</cp:lastPrinted>
  <dcterms:created xsi:type="dcterms:W3CDTF">2017-02-27T12:04:00Z</dcterms:created>
  <dcterms:modified xsi:type="dcterms:W3CDTF">2017-02-27T12:04:00Z</dcterms:modified>
</cp:coreProperties>
</file>