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F5E" w:rsidRDefault="005D62E9" w:rsidP="00D74D6D">
      <w:pPr>
        <w:spacing w:after="120"/>
        <w:rPr>
          <w:rFonts w:cstheme="minorHAnsi"/>
          <w:b/>
          <w:sz w:val="24"/>
          <w:szCs w:val="24"/>
        </w:rPr>
      </w:pPr>
      <w:bookmarkStart w:id="0" w:name="_GoBack"/>
      <w:bookmarkEnd w:id="0"/>
      <w:r w:rsidRPr="00631119">
        <w:rPr>
          <w:rFonts w:cstheme="minorHAnsi"/>
          <w:b/>
          <w:sz w:val="24"/>
          <w:szCs w:val="24"/>
        </w:rPr>
        <w:t>Financial Review 2016 / 2017</w:t>
      </w:r>
    </w:p>
    <w:p w:rsidR="00AA7496" w:rsidRPr="00AA7496" w:rsidRDefault="00AA7496" w:rsidP="00AA7496">
      <w:pPr>
        <w:spacing w:after="120"/>
        <w:rPr>
          <w:rFonts w:cstheme="minorHAnsi"/>
          <w:b/>
        </w:rPr>
      </w:pPr>
      <w:r w:rsidRPr="00AA7496">
        <w:rPr>
          <w:rFonts w:cstheme="minorHAnsi"/>
          <w:b/>
        </w:rPr>
        <w:t xml:space="preserve">The following review </w:t>
      </w:r>
      <w:proofErr w:type="gramStart"/>
      <w:r w:rsidRPr="00AA7496">
        <w:rPr>
          <w:rFonts w:cstheme="minorHAnsi"/>
          <w:b/>
        </w:rPr>
        <w:t>should be read</w:t>
      </w:r>
      <w:proofErr w:type="gramEnd"/>
      <w:r w:rsidRPr="00AA7496">
        <w:rPr>
          <w:rFonts w:cstheme="minorHAnsi"/>
          <w:b/>
        </w:rPr>
        <w:t xml:space="preserve"> in conjunction with the </w:t>
      </w:r>
      <w:r w:rsidR="00BE7EFE">
        <w:rPr>
          <w:rFonts w:cstheme="minorHAnsi"/>
          <w:b/>
          <w:bCs/>
        </w:rPr>
        <w:t>R</w:t>
      </w:r>
      <w:r w:rsidRPr="00AA7496">
        <w:rPr>
          <w:rFonts w:cstheme="minorHAnsi"/>
          <w:b/>
          <w:bCs/>
        </w:rPr>
        <w:t>eport and</w:t>
      </w:r>
      <w:r>
        <w:rPr>
          <w:rFonts w:cstheme="minorHAnsi"/>
          <w:b/>
          <w:bCs/>
        </w:rPr>
        <w:t xml:space="preserve"> </w:t>
      </w:r>
      <w:r w:rsidR="00BE7EFE">
        <w:rPr>
          <w:rFonts w:cstheme="minorHAnsi"/>
          <w:b/>
          <w:bCs/>
        </w:rPr>
        <w:t>Financial S</w:t>
      </w:r>
      <w:r w:rsidRPr="00AA7496">
        <w:rPr>
          <w:rFonts w:cstheme="minorHAnsi"/>
          <w:b/>
          <w:bCs/>
        </w:rPr>
        <w:t>tatements for the year ended 30 April 2017</w:t>
      </w:r>
    </w:p>
    <w:p w:rsidR="005D62E9" w:rsidRDefault="00647F5E" w:rsidP="00AE4967">
      <w:pPr>
        <w:pStyle w:val="Default"/>
        <w:spacing w:after="120"/>
        <w:rPr>
          <w:sz w:val="22"/>
          <w:szCs w:val="22"/>
        </w:rPr>
      </w:pPr>
      <w:r>
        <w:rPr>
          <w:sz w:val="22"/>
          <w:szCs w:val="22"/>
        </w:rPr>
        <w:t xml:space="preserve">We are extremely grateful to all those who support of our work. The Group would not be able to meet the needs and expectations of families affected by this group of diseases without </w:t>
      </w:r>
      <w:r w:rsidR="00681898">
        <w:rPr>
          <w:sz w:val="22"/>
          <w:szCs w:val="22"/>
        </w:rPr>
        <w:t>donations</w:t>
      </w:r>
      <w:r w:rsidR="00D464D8">
        <w:rPr>
          <w:sz w:val="22"/>
          <w:szCs w:val="22"/>
        </w:rPr>
        <w:t>,</w:t>
      </w:r>
      <w:r>
        <w:rPr>
          <w:sz w:val="22"/>
          <w:szCs w:val="22"/>
        </w:rPr>
        <w:t xml:space="preserve"> </w:t>
      </w:r>
      <w:r w:rsidR="008D13D0">
        <w:rPr>
          <w:sz w:val="22"/>
          <w:szCs w:val="22"/>
        </w:rPr>
        <w:t xml:space="preserve">the </w:t>
      </w:r>
      <w:r>
        <w:rPr>
          <w:sz w:val="22"/>
          <w:szCs w:val="22"/>
        </w:rPr>
        <w:t>fund</w:t>
      </w:r>
      <w:r w:rsidR="00681898">
        <w:rPr>
          <w:sz w:val="22"/>
          <w:szCs w:val="22"/>
        </w:rPr>
        <w:t xml:space="preserve"> raising </w:t>
      </w:r>
      <w:r>
        <w:rPr>
          <w:sz w:val="22"/>
          <w:szCs w:val="22"/>
        </w:rPr>
        <w:t>activities of our members, families</w:t>
      </w:r>
      <w:r w:rsidR="005D62E9">
        <w:rPr>
          <w:sz w:val="22"/>
          <w:szCs w:val="22"/>
        </w:rPr>
        <w:t xml:space="preserve">, </w:t>
      </w:r>
      <w:r>
        <w:rPr>
          <w:sz w:val="22"/>
          <w:szCs w:val="22"/>
        </w:rPr>
        <w:t>friends</w:t>
      </w:r>
      <w:r w:rsidR="005D62E9">
        <w:rPr>
          <w:sz w:val="22"/>
          <w:szCs w:val="22"/>
        </w:rPr>
        <w:t xml:space="preserve">, and </w:t>
      </w:r>
      <w:r w:rsidR="00681898">
        <w:rPr>
          <w:sz w:val="22"/>
          <w:szCs w:val="22"/>
        </w:rPr>
        <w:t xml:space="preserve">funding from </w:t>
      </w:r>
      <w:r w:rsidR="005D62E9">
        <w:rPr>
          <w:sz w:val="22"/>
          <w:szCs w:val="22"/>
        </w:rPr>
        <w:t>grant providers</w:t>
      </w:r>
      <w:r w:rsidR="008E2C7D">
        <w:rPr>
          <w:sz w:val="22"/>
          <w:szCs w:val="22"/>
        </w:rPr>
        <w:t xml:space="preserve"> who </w:t>
      </w:r>
      <w:proofErr w:type="gramStart"/>
      <w:r w:rsidR="008E2C7D">
        <w:rPr>
          <w:sz w:val="22"/>
          <w:szCs w:val="22"/>
        </w:rPr>
        <w:t>are acknowledged</w:t>
      </w:r>
      <w:proofErr w:type="gramEnd"/>
      <w:r w:rsidR="005D62E9">
        <w:rPr>
          <w:sz w:val="22"/>
          <w:szCs w:val="22"/>
        </w:rPr>
        <w:t xml:space="preserve"> throughout this report. </w:t>
      </w:r>
      <w:r>
        <w:rPr>
          <w:sz w:val="22"/>
          <w:szCs w:val="22"/>
        </w:rPr>
        <w:t xml:space="preserve"> </w:t>
      </w:r>
    </w:p>
    <w:p w:rsidR="005D62E9" w:rsidRDefault="005D62E9" w:rsidP="00AE4967">
      <w:pPr>
        <w:pStyle w:val="Default"/>
        <w:spacing w:after="120"/>
        <w:rPr>
          <w:sz w:val="22"/>
          <w:szCs w:val="22"/>
        </w:rPr>
      </w:pPr>
      <w:r>
        <w:rPr>
          <w:sz w:val="22"/>
          <w:szCs w:val="22"/>
        </w:rPr>
        <w:t xml:space="preserve">All restricted donations </w:t>
      </w:r>
      <w:proofErr w:type="gramStart"/>
      <w:r>
        <w:rPr>
          <w:sz w:val="22"/>
          <w:szCs w:val="22"/>
        </w:rPr>
        <w:t>were used</w:t>
      </w:r>
      <w:proofErr w:type="gramEnd"/>
      <w:r>
        <w:rPr>
          <w:sz w:val="22"/>
          <w:szCs w:val="22"/>
        </w:rPr>
        <w:t xml:space="preserve"> for the purpose specified and all general donations and </w:t>
      </w:r>
      <w:r w:rsidR="00647F5E">
        <w:rPr>
          <w:sz w:val="22"/>
          <w:szCs w:val="22"/>
        </w:rPr>
        <w:t>money raised by families during the financial year, 201</w:t>
      </w:r>
      <w:r w:rsidR="00681898">
        <w:rPr>
          <w:sz w:val="22"/>
          <w:szCs w:val="22"/>
        </w:rPr>
        <w:t>6</w:t>
      </w:r>
      <w:r w:rsidR="00647F5E">
        <w:rPr>
          <w:sz w:val="22"/>
          <w:szCs w:val="22"/>
        </w:rPr>
        <w:t>/201</w:t>
      </w:r>
      <w:r w:rsidR="00681898">
        <w:rPr>
          <w:sz w:val="22"/>
          <w:szCs w:val="22"/>
        </w:rPr>
        <w:t>7</w:t>
      </w:r>
      <w:r w:rsidR="00647F5E">
        <w:rPr>
          <w:sz w:val="22"/>
          <w:szCs w:val="22"/>
        </w:rPr>
        <w:t xml:space="preserve">, was allocated to our Care and Support Service and Research Service. </w:t>
      </w:r>
    </w:p>
    <w:p w:rsidR="00647F5E" w:rsidRDefault="00647F5E" w:rsidP="00AE4967">
      <w:pPr>
        <w:pStyle w:val="Default"/>
        <w:spacing w:after="120"/>
        <w:rPr>
          <w:sz w:val="22"/>
          <w:szCs w:val="22"/>
        </w:rPr>
      </w:pPr>
      <w:r>
        <w:rPr>
          <w:sz w:val="22"/>
          <w:szCs w:val="22"/>
        </w:rPr>
        <w:t xml:space="preserve">We recognize the tremendous effort that goes into organising fund raising events and, at a time of </w:t>
      </w:r>
      <w:r w:rsidR="009E1A14">
        <w:rPr>
          <w:sz w:val="22"/>
          <w:szCs w:val="22"/>
        </w:rPr>
        <w:t xml:space="preserve">continuing </w:t>
      </w:r>
      <w:r>
        <w:rPr>
          <w:sz w:val="22"/>
          <w:szCs w:val="22"/>
        </w:rPr>
        <w:t>economic uncertainty,</w:t>
      </w:r>
      <w:r w:rsidR="00964AB1">
        <w:rPr>
          <w:sz w:val="22"/>
          <w:szCs w:val="22"/>
        </w:rPr>
        <w:t xml:space="preserve"> we will work hard to diversify and d</w:t>
      </w:r>
      <w:r>
        <w:rPr>
          <w:sz w:val="22"/>
          <w:szCs w:val="22"/>
        </w:rPr>
        <w:t xml:space="preserve">evelop funding streams that are capable of sustaining the future of the Group. </w:t>
      </w:r>
    </w:p>
    <w:p w:rsidR="00493C59" w:rsidRDefault="00647F5E" w:rsidP="00647F5E">
      <w:r>
        <w:t>The following chart</w:t>
      </w:r>
      <w:r w:rsidR="00B32005">
        <w:t xml:space="preserve">s show the source of funds and </w:t>
      </w:r>
      <w:r>
        <w:t xml:space="preserve">how the Group uses </w:t>
      </w:r>
      <w:r w:rsidR="00B32005">
        <w:t xml:space="preserve">these </w:t>
      </w:r>
      <w:r>
        <w:t>funds to meet its aims and objectives</w:t>
      </w:r>
      <w:r w:rsidR="00B32005">
        <w:t xml:space="preserve">. They also </w:t>
      </w:r>
      <w:r>
        <w:t xml:space="preserve">demonstrate the </w:t>
      </w:r>
      <w:r w:rsidR="00493C59">
        <w:t xml:space="preserve">continuing </w:t>
      </w:r>
      <w:r>
        <w:t>need</w:t>
      </w:r>
      <w:r w:rsidR="00493C59">
        <w:t xml:space="preserve"> </w:t>
      </w:r>
      <w:r>
        <w:t xml:space="preserve">and importance, of your support and that of our grant </w:t>
      </w:r>
      <w:r w:rsidR="008E2C7D">
        <w:t>providers</w:t>
      </w:r>
      <w:proofErr w:type="gramStart"/>
      <w:r w:rsidR="008D13D0">
        <w:t>,</w:t>
      </w:r>
      <w:r w:rsidR="008E2C7D">
        <w:t xml:space="preserve"> </w:t>
      </w:r>
      <w:r>
        <w:t xml:space="preserve"> </w:t>
      </w:r>
      <w:r w:rsidR="00493C59">
        <w:t>which</w:t>
      </w:r>
      <w:proofErr w:type="gramEnd"/>
      <w:r w:rsidR="00493C59">
        <w:t xml:space="preserve"> is </w:t>
      </w:r>
      <w:r>
        <w:t xml:space="preserve">vital to the continued funding of our support services. </w:t>
      </w:r>
    </w:p>
    <w:p w:rsidR="00AE4967" w:rsidRDefault="00AE4967" w:rsidP="00647F5E"/>
    <w:p w:rsidR="0074654B" w:rsidRPr="0074654B" w:rsidRDefault="00493C59" w:rsidP="0074654B">
      <w:pPr>
        <w:jc w:val="center"/>
        <w:rPr>
          <w:b/>
          <w:sz w:val="24"/>
          <w:szCs w:val="24"/>
        </w:rPr>
      </w:pPr>
      <w:r w:rsidRPr="0074654B">
        <w:rPr>
          <w:b/>
          <w:sz w:val="24"/>
          <w:szCs w:val="24"/>
        </w:rPr>
        <w:t>Source</w:t>
      </w:r>
      <w:r w:rsidR="00EC6F88">
        <w:rPr>
          <w:b/>
          <w:sz w:val="24"/>
          <w:szCs w:val="24"/>
        </w:rPr>
        <w:t>s</w:t>
      </w:r>
      <w:r w:rsidRPr="0074654B">
        <w:rPr>
          <w:b/>
          <w:sz w:val="24"/>
          <w:szCs w:val="24"/>
        </w:rPr>
        <w:t xml:space="preserve"> of Income</w:t>
      </w:r>
    </w:p>
    <w:p w:rsidR="00493C59" w:rsidRPr="0074654B" w:rsidRDefault="00493C59" w:rsidP="0074654B">
      <w:pPr>
        <w:jc w:val="center"/>
        <w:rPr>
          <w:b/>
          <w:sz w:val="24"/>
          <w:szCs w:val="24"/>
        </w:rPr>
      </w:pPr>
      <w:r w:rsidRPr="0074654B">
        <w:rPr>
          <w:b/>
          <w:sz w:val="24"/>
          <w:szCs w:val="24"/>
        </w:rPr>
        <w:t>Financial Year 2016 / 2017</w:t>
      </w:r>
    </w:p>
    <w:p w:rsidR="006F0303" w:rsidRDefault="003120F0" w:rsidP="00647F5E">
      <w:r>
        <w:rPr>
          <w:noProof/>
          <w:lang w:eastAsia="en-GB"/>
        </w:rPr>
        <w:drawing>
          <wp:inline distT="0" distB="0" distL="0" distR="0" wp14:anchorId="0E48DFE5" wp14:editId="1CC20DAA">
            <wp:extent cx="5505450" cy="41052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6F0303" w:rsidRDefault="006F0303" w:rsidP="00647F5E"/>
    <w:p w:rsidR="00493C59" w:rsidRDefault="0074654B" w:rsidP="00647F5E">
      <w:r>
        <w:lastRenderedPageBreak/>
        <w:t>Total income for the financial year was £</w:t>
      </w:r>
      <w:r w:rsidR="00BC167B">
        <w:t xml:space="preserve">244,025, of which, 32% </w:t>
      </w:r>
      <w:proofErr w:type="gramStart"/>
      <w:r w:rsidR="00BC167B">
        <w:t>was received</w:t>
      </w:r>
      <w:proofErr w:type="gramEnd"/>
      <w:r w:rsidR="00BC167B">
        <w:t xml:space="preserve"> in grants from the Big Lottery, Children in Need and the Hollie Foundation. </w:t>
      </w:r>
    </w:p>
    <w:p w:rsidR="006F0303" w:rsidRDefault="006F0303" w:rsidP="006F0303">
      <w:pPr>
        <w:pStyle w:val="Default"/>
        <w:rPr>
          <w:sz w:val="22"/>
          <w:szCs w:val="22"/>
        </w:rPr>
      </w:pPr>
      <w:r>
        <w:rPr>
          <w:sz w:val="22"/>
          <w:szCs w:val="22"/>
        </w:rPr>
        <w:t xml:space="preserve">Unrestricted grants received from pharmaceutical companies </w:t>
      </w:r>
      <w:r w:rsidR="00BC167B">
        <w:rPr>
          <w:sz w:val="22"/>
          <w:szCs w:val="22"/>
        </w:rPr>
        <w:t xml:space="preserve">(20%) </w:t>
      </w:r>
      <w:proofErr w:type="gramStart"/>
      <w:r>
        <w:rPr>
          <w:sz w:val="22"/>
          <w:szCs w:val="22"/>
        </w:rPr>
        <w:t>were used</w:t>
      </w:r>
      <w:proofErr w:type="gramEnd"/>
      <w:r>
        <w:rPr>
          <w:sz w:val="22"/>
          <w:szCs w:val="22"/>
        </w:rPr>
        <w:t xml:space="preserve"> to support our Annual Family Conference and</w:t>
      </w:r>
      <w:r w:rsidR="008D13D0">
        <w:rPr>
          <w:sz w:val="22"/>
          <w:szCs w:val="22"/>
        </w:rPr>
        <w:t xml:space="preserve"> the </w:t>
      </w:r>
      <w:r>
        <w:rPr>
          <w:sz w:val="22"/>
          <w:szCs w:val="22"/>
        </w:rPr>
        <w:t>Professionals’ Interactive Workshop</w:t>
      </w:r>
      <w:r w:rsidR="008D13D0">
        <w:rPr>
          <w:sz w:val="22"/>
          <w:szCs w:val="22"/>
        </w:rPr>
        <w:t xml:space="preserve">. It is important to state that these companies </w:t>
      </w:r>
      <w:r>
        <w:rPr>
          <w:sz w:val="22"/>
          <w:szCs w:val="22"/>
        </w:rPr>
        <w:t xml:space="preserve">had no control or influence over the contents of the programme or the selection of speakers. </w:t>
      </w:r>
    </w:p>
    <w:p w:rsidR="006F0303" w:rsidRDefault="006F0303" w:rsidP="006F0303">
      <w:pPr>
        <w:pStyle w:val="Default"/>
        <w:rPr>
          <w:sz w:val="22"/>
          <w:szCs w:val="22"/>
        </w:rPr>
      </w:pPr>
    </w:p>
    <w:p w:rsidR="006F0303" w:rsidRDefault="00D0622E" w:rsidP="00647F5E">
      <w:r>
        <w:t>At a time of continuing financial uncertainty, we are fortunate to have the amazing support of our members</w:t>
      </w:r>
      <w:r w:rsidR="004724FD">
        <w:t xml:space="preserve">, </w:t>
      </w:r>
      <w:r>
        <w:t>famil</w:t>
      </w:r>
      <w:r w:rsidR="004724FD">
        <w:t xml:space="preserve">ies </w:t>
      </w:r>
      <w:r>
        <w:t>and friends</w:t>
      </w:r>
      <w:r w:rsidR="004724FD">
        <w:t xml:space="preserve"> who, through fundraising events and voluntary donations, contributed a combined 31% of our income. </w:t>
      </w:r>
      <w:r>
        <w:t xml:space="preserve"> </w:t>
      </w:r>
      <w:r w:rsidR="00B12CEF">
        <w:t>We are truly grateful for the</w:t>
      </w:r>
      <w:r w:rsidR="008D13D0">
        <w:t xml:space="preserve">ir </w:t>
      </w:r>
      <w:r w:rsidR="00B12CEF">
        <w:t>support</w:t>
      </w:r>
      <w:r w:rsidR="008D13D0">
        <w:t>.</w:t>
      </w:r>
    </w:p>
    <w:p w:rsidR="00EC6F88" w:rsidRDefault="004724FD" w:rsidP="00647F5E">
      <w:r>
        <w:t>Investment income (3%) and gift aid (1%) were small, by comparison, and</w:t>
      </w:r>
      <w:r w:rsidR="00EC6F88">
        <w:t xml:space="preserve"> over the coming year</w:t>
      </w:r>
      <w:r>
        <w:t xml:space="preserve"> we will </w:t>
      </w:r>
      <w:r w:rsidR="00EC6F88">
        <w:t xml:space="preserve">review </w:t>
      </w:r>
      <w:r>
        <w:t xml:space="preserve">  investment opportunities </w:t>
      </w:r>
      <w:r w:rsidR="00EC6F88">
        <w:t xml:space="preserve">to ensure the best return on our investments </w:t>
      </w:r>
      <w:r>
        <w:t xml:space="preserve">and </w:t>
      </w:r>
      <w:proofErr w:type="gramStart"/>
      <w:r w:rsidR="00EC6F88">
        <w:t xml:space="preserve">encourage </w:t>
      </w:r>
      <w:r>
        <w:t xml:space="preserve"> </w:t>
      </w:r>
      <w:r w:rsidR="00EC6F88">
        <w:t>donors</w:t>
      </w:r>
      <w:proofErr w:type="gramEnd"/>
      <w:r w:rsidR="00EC6F88">
        <w:t xml:space="preserve"> to make a Gift Aid declaration in order to maximise donations. </w:t>
      </w:r>
    </w:p>
    <w:p w:rsidR="00AE4967" w:rsidRDefault="00AE4967" w:rsidP="00647F5E"/>
    <w:p w:rsidR="00AE4967" w:rsidRPr="00AE4967" w:rsidRDefault="00AE4967" w:rsidP="00AE4967">
      <w:pPr>
        <w:jc w:val="center"/>
        <w:rPr>
          <w:b/>
          <w:sz w:val="24"/>
          <w:szCs w:val="24"/>
        </w:rPr>
      </w:pPr>
      <w:r w:rsidRPr="00AE4967">
        <w:rPr>
          <w:b/>
          <w:sz w:val="24"/>
          <w:szCs w:val="24"/>
        </w:rPr>
        <w:t>Allocation of Expenditure and Support Costs</w:t>
      </w:r>
    </w:p>
    <w:p w:rsidR="00AE4967" w:rsidRDefault="00AE4967" w:rsidP="00AE4967">
      <w:pPr>
        <w:jc w:val="center"/>
        <w:rPr>
          <w:b/>
          <w:sz w:val="24"/>
          <w:szCs w:val="24"/>
        </w:rPr>
      </w:pPr>
      <w:r w:rsidRPr="00AE4967">
        <w:rPr>
          <w:b/>
          <w:sz w:val="24"/>
          <w:szCs w:val="24"/>
        </w:rPr>
        <w:t>Financial Year 2016 / 2017</w:t>
      </w:r>
    </w:p>
    <w:p w:rsidR="00B91330" w:rsidRDefault="00B91330" w:rsidP="00AE4967">
      <w:pPr>
        <w:jc w:val="center"/>
      </w:pPr>
    </w:p>
    <w:p w:rsidR="00EC6F88" w:rsidRDefault="00AE4967" w:rsidP="00647F5E">
      <w:r>
        <w:rPr>
          <w:noProof/>
          <w:lang w:eastAsia="en-GB"/>
        </w:rPr>
        <w:drawing>
          <wp:inline distT="0" distB="0" distL="0" distR="0" wp14:anchorId="7DF6C2D9" wp14:editId="587AE040">
            <wp:extent cx="5481638" cy="3648075"/>
            <wp:effectExtent l="0" t="0" r="508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74D6D" w:rsidRDefault="00D74D6D" w:rsidP="00647F5E"/>
    <w:p w:rsidR="00B12CEF" w:rsidRDefault="00B12CEF" w:rsidP="00D74D6D">
      <w:pPr>
        <w:spacing w:after="120"/>
      </w:pPr>
      <w:r>
        <w:t>Expenditure for the year amounted to £358,400</w:t>
      </w:r>
      <w:r w:rsidR="000332DC">
        <w:t xml:space="preserve">. This was </w:t>
      </w:r>
      <w:r w:rsidR="00F97990">
        <w:t>£114,375 more than the income received</w:t>
      </w:r>
      <w:r w:rsidR="00021F22">
        <w:t xml:space="preserve"> </w:t>
      </w:r>
      <w:r w:rsidR="00D464D8">
        <w:t xml:space="preserve">and </w:t>
      </w:r>
      <w:r>
        <w:t>reflected the opportunity to</w:t>
      </w:r>
      <w:r w:rsidR="00F97990">
        <w:t xml:space="preserve"> reduce our reserves by converting </w:t>
      </w:r>
      <w:r w:rsidR="000332DC">
        <w:t xml:space="preserve">the balance of an unrestricted </w:t>
      </w:r>
      <w:r>
        <w:t>legacy</w:t>
      </w:r>
      <w:r w:rsidR="000332DC">
        <w:t xml:space="preserve"> (£154,560 in </w:t>
      </w:r>
      <w:r>
        <w:t>2016</w:t>
      </w:r>
      <w:proofErr w:type="gramStart"/>
      <w:r w:rsidR="000332DC">
        <w:t xml:space="preserve">) </w:t>
      </w:r>
      <w:r>
        <w:t xml:space="preserve"> </w:t>
      </w:r>
      <w:r w:rsidR="00F97990">
        <w:t>into</w:t>
      </w:r>
      <w:proofErr w:type="gramEnd"/>
      <w:r w:rsidR="00F97990">
        <w:t xml:space="preserve"> care and support for our families.</w:t>
      </w:r>
    </w:p>
    <w:p w:rsidR="00F97990" w:rsidRDefault="00F97990" w:rsidP="00D74D6D">
      <w:pPr>
        <w:spacing w:after="120"/>
      </w:pPr>
      <w:r>
        <w:lastRenderedPageBreak/>
        <w:t xml:space="preserve">As a charity, we </w:t>
      </w:r>
      <w:proofErr w:type="gramStart"/>
      <w:r>
        <w:t>are driven</w:t>
      </w:r>
      <w:proofErr w:type="gramEnd"/>
      <w:r>
        <w:t xml:space="preserve"> by our objectives and the needs of the families we support. This </w:t>
      </w:r>
      <w:proofErr w:type="gramStart"/>
      <w:r>
        <w:t>means  that</w:t>
      </w:r>
      <w:proofErr w:type="gramEnd"/>
      <w:r>
        <w:t xml:space="preserve"> in 2016 / 2017 we spent 46% of our expenditure on </w:t>
      </w:r>
      <w:r w:rsidR="00F31078">
        <w:t xml:space="preserve">Care and Support </w:t>
      </w:r>
      <w:r>
        <w:t xml:space="preserve">followed by 25% on </w:t>
      </w:r>
      <w:r w:rsidR="00021F22">
        <w:t>Research</w:t>
      </w:r>
      <w:r>
        <w:t xml:space="preserve"> and Collaboration</w:t>
      </w:r>
      <w:r w:rsidR="00F31078">
        <w:t xml:space="preserve"> and 13% on Information and Social Media.</w:t>
      </w:r>
      <w:r>
        <w:t>.</w:t>
      </w:r>
    </w:p>
    <w:p w:rsidR="00F31078" w:rsidRDefault="00F31078" w:rsidP="00D74D6D">
      <w:pPr>
        <w:spacing w:after="120"/>
      </w:pPr>
      <w:r>
        <w:t xml:space="preserve">- </w:t>
      </w:r>
      <w:r w:rsidR="00F97990">
        <w:t xml:space="preserve">Care and support takes into account the work of our Clinical Nurse Specialist and Families Officer with additional support from our Chief </w:t>
      </w:r>
      <w:r w:rsidR="00021F22">
        <w:t>Executive</w:t>
      </w:r>
      <w:r w:rsidR="00702E96">
        <w:t>. Th</w:t>
      </w:r>
      <w:r w:rsidR="007B4FE8">
        <w:t>is includes managing the 24 hour help line, providing emotional support and help with managing disease progression, attending clinics and making home visits, giving practical advice and support for home adaptions and advocating on behalf of families facing difficulties with matters relating to housing and benefits</w:t>
      </w:r>
    </w:p>
    <w:p w:rsidR="00F97990" w:rsidRDefault="00F31078" w:rsidP="00D74D6D">
      <w:pPr>
        <w:spacing w:after="120"/>
      </w:pPr>
      <w:proofErr w:type="gramStart"/>
      <w:r>
        <w:t xml:space="preserve">- </w:t>
      </w:r>
      <w:r w:rsidR="00021F22">
        <w:t xml:space="preserve">Research and collaboration reflects small grants </w:t>
      </w:r>
      <w:r w:rsidR="001F4A30">
        <w:t xml:space="preserve">for </w:t>
      </w:r>
      <w:r w:rsidR="00021F22">
        <w:t xml:space="preserve">to universities </w:t>
      </w:r>
      <w:r w:rsidR="001F4A30">
        <w:t xml:space="preserve">for specific research projects </w:t>
      </w:r>
      <w:r w:rsidR="00021F22">
        <w:t xml:space="preserve">and </w:t>
      </w:r>
      <w:r w:rsidR="001F4A30">
        <w:t>collaboration with pharmaceutical companies in support of providing information about clinical trials</w:t>
      </w:r>
      <w:r>
        <w:t xml:space="preserve"> and working with the NHS </w:t>
      </w:r>
      <w:r w:rsidR="00631119">
        <w:t xml:space="preserve">England </w:t>
      </w:r>
      <w:r>
        <w:t>to gain NICE approval for new therapies</w:t>
      </w:r>
      <w:r w:rsidR="001F4A30">
        <w:t xml:space="preserve">, </w:t>
      </w:r>
      <w:r>
        <w:t>collaborating with clinicians and</w:t>
      </w:r>
      <w:r w:rsidR="00663661">
        <w:t xml:space="preserve"> the </w:t>
      </w:r>
      <w:r w:rsidR="001F4A30">
        <w:t xml:space="preserve">NHS Expert Advisory </w:t>
      </w:r>
      <w:r>
        <w:t>Group and working with the LSD Collaborative to influence National Policy on welfare and NHS reform.</w:t>
      </w:r>
      <w:proofErr w:type="gramEnd"/>
      <w:r>
        <w:t xml:space="preserve"> </w:t>
      </w:r>
    </w:p>
    <w:p w:rsidR="00F31078" w:rsidRDefault="00F31078" w:rsidP="00D74D6D">
      <w:pPr>
        <w:spacing w:after="120"/>
      </w:pPr>
      <w:r>
        <w:t xml:space="preserve">- </w:t>
      </w:r>
      <w:r w:rsidR="00631119">
        <w:t>Information</w:t>
      </w:r>
      <w:r>
        <w:t xml:space="preserve"> and Social </w:t>
      </w:r>
      <w:proofErr w:type="gramStart"/>
      <w:r>
        <w:t>Media</w:t>
      </w:r>
      <w:r w:rsidR="00631119">
        <w:t>(</w:t>
      </w:r>
      <w:proofErr w:type="gramEnd"/>
      <w:r w:rsidR="00631119">
        <w:t>13%)</w:t>
      </w:r>
      <w:r>
        <w:t xml:space="preserve"> captures the costs of providing information through all channels including the web site, social media platforms, </w:t>
      </w:r>
      <w:r w:rsidR="00631119">
        <w:t>newsletters and information leaflets.</w:t>
      </w:r>
    </w:p>
    <w:p w:rsidR="00631119" w:rsidRDefault="00631119" w:rsidP="00D74D6D">
      <w:pPr>
        <w:spacing w:after="120"/>
      </w:pPr>
      <w:r>
        <w:t xml:space="preserve">- Central Office and Administration </w:t>
      </w:r>
      <w:proofErr w:type="gramStart"/>
      <w:r>
        <w:t>Costs(</w:t>
      </w:r>
      <w:proofErr w:type="gramEnd"/>
      <w:r>
        <w:t>7%) reflect the expenditure associated with running the Central Office and include rent, overheads and the Finance and Administration Officer role.</w:t>
      </w:r>
    </w:p>
    <w:p w:rsidR="00631119" w:rsidRDefault="00631119" w:rsidP="00D74D6D">
      <w:pPr>
        <w:spacing w:after="120"/>
      </w:pPr>
      <w:r>
        <w:t>We are fortunate to share the roles of</w:t>
      </w:r>
      <w:r w:rsidR="00D464D8">
        <w:t xml:space="preserve"> the Social Media and </w:t>
      </w:r>
      <w:r>
        <w:t>Communications Officer and the Finance and Administration Officer with the INPDA. This has the effect of sharing associated costs and reducing the</w:t>
      </w:r>
      <w:r w:rsidR="00F069C7">
        <w:t xml:space="preserve"> NPUK </w:t>
      </w:r>
      <w:r>
        <w:t>cost of overheads and administration.</w:t>
      </w:r>
    </w:p>
    <w:p w:rsidR="00BE7EFE" w:rsidRDefault="00BE7EFE" w:rsidP="00D74D6D">
      <w:pPr>
        <w:spacing w:after="120"/>
      </w:pPr>
      <w:r>
        <w:t>Please refer to the</w:t>
      </w:r>
      <w:r w:rsidRPr="00BE7EFE">
        <w:t xml:space="preserve"> Report and Financial Statements for the year ended 30 April 2017</w:t>
      </w:r>
      <w:r>
        <w:t xml:space="preserve"> for </w:t>
      </w:r>
      <w:r w:rsidR="00F069C7">
        <w:t xml:space="preserve">additional </w:t>
      </w:r>
      <w:r>
        <w:t xml:space="preserve"> information about the financial accounts, reserves policy and endowment fund or contact the Central Office on 0191 415 0693</w:t>
      </w:r>
    </w:p>
    <w:p w:rsidR="00BE7EFE" w:rsidRDefault="00BE7EFE" w:rsidP="00D74D6D">
      <w:pPr>
        <w:spacing w:after="120"/>
      </w:pPr>
    </w:p>
    <w:p w:rsidR="00BE7EFE" w:rsidRDefault="00BE7EFE" w:rsidP="00D74D6D">
      <w:pPr>
        <w:spacing w:after="120"/>
      </w:pPr>
    </w:p>
    <w:p w:rsidR="00BE7EFE" w:rsidRDefault="00BE7EFE" w:rsidP="00D74D6D">
      <w:pPr>
        <w:spacing w:after="120"/>
      </w:pPr>
    </w:p>
    <w:p w:rsidR="00BE7EFE" w:rsidRDefault="00BE7EFE" w:rsidP="00D74D6D">
      <w:pPr>
        <w:spacing w:after="120"/>
      </w:pPr>
    </w:p>
    <w:sectPr w:rsidR="00BE7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5E"/>
    <w:rsid w:val="00021F22"/>
    <w:rsid w:val="000332DC"/>
    <w:rsid w:val="00183B77"/>
    <w:rsid w:val="001F4A30"/>
    <w:rsid w:val="00276545"/>
    <w:rsid w:val="002A3AAF"/>
    <w:rsid w:val="002E291D"/>
    <w:rsid w:val="00300C99"/>
    <w:rsid w:val="003120F0"/>
    <w:rsid w:val="004724FD"/>
    <w:rsid w:val="00493C59"/>
    <w:rsid w:val="00500F2D"/>
    <w:rsid w:val="005D62E9"/>
    <w:rsid w:val="00631119"/>
    <w:rsid w:val="00647F5E"/>
    <w:rsid w:val="00663661"/>
    <w:rsid w:val="00681898"/>
    <w:rsid w:val="006F0303"/>
    <w:rsid w:val="00702E96"/>
    <w:rsid w:val="0074654B"/>
    <w:rsid w:val="007B4FE8"/>
    <w:rsid w:val="007D0E97"/>
    <w:rsid w:val="008A5EE5"/>
    <w:rsid w:val="008D13D0"/>
    <w:rsid w:val="008E2C7D"/>
    <w:rsid w:val="00964AB1"/>
    <w:rsid w:val="009E1A14"/>
    <w:rsid w:val="00AA7496"/>
    <w:rsid w:val="00AE4967"/>
    <w:rsid w:val="00B12CEF"/>
    <w:rsid w:val="00B32005"/>
    <w:rsid w:val="00B42F0C"/>
    <w:rsid w:val="00B91330"/>
    <w:rsid w:val="00BC167B"/>
    <w:rsid w:val="00BE7EFE"/>
    <w:rsid w:val="00BF38BB"/>
    <w:rsid w:val="00CB33B6"/>
    <w:rsid w:val="00D0622E"/>
    <w:rsid w:val="00D17D8C"/>
    <w:rsid w:val="00D464D8"/>
    <w:rsid w:val="00D74D6D"/>
    <w:rsid w:val="00EC6F88"/>
    <w:rsid w:val="00F069C7"/>
    <w:rsid w:val="00F31078"/>
    <w:rsid w:val="00F97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530DB-E995-47A9-9890-922517E9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F5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00F2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drobe\Documents\Financial%20Accounts%202016..2017;%20Annual%20Review;%20Incom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458618072000179"/>
          <c:y val="3.6666657042872169E-2"/>
          <c:w val="0.82662743035836894"/>
          <c:h val="0.56031166396019316"/>
        </c:manualLayout>
      </c:layout>
      <c:barChart>
        <c:barDir val="col"/>
        <c:grouping val="clustered"/>
        <c:varyColors val="0"/>
        <c:ser>
          <c:idx val="0"/>
          <c:order val="0"/>
          <c:spPr>
            <a:solidFill>
              <a:schemeClr val="accent1"/>
            </a:solidFill>
            <a:ln>
              <a:noFill/>
            </a:ln>
            <a:effectLst/>
          </c:spPr>
          <c:invertIfNegative val="0"/>
          <c:cat>
            <c:strRef>
              <c:f>Income!$A$9:$A$16</c:f>
              <c:strCache>
                <c:ptCount val="8"/>
                <c:pt idx="0">
                  <c:v>Grant giving organisations</c:v>
                </c:pt>
                <c:pt idx="1">
                  <c:v>Pharmaceutical companies</c:v>
                </c:pt>
                <c:pt idx="2">
                  <c:v>Fundraising</c:v>
                </c:pt>
                <c:pt idx="3">
                  <c:v>Voluntary donations</c:v>
                </c:pt>
                <c:pt idx="4">
                  <c:v>Conference fees and donations </c:v>
                </c:pt>
                <c:pt idx="5">
                  <c:v>INPDA and miscellaneous</c:v>
                </c:pt>
                <c:pt idx="6">
                  <c:v>Investment income</c:v>
                </c:pt>
                <c:pt idx="7">
                  <c:v>Gift aid</c:v>
                </c:pt>
              </c:strCache>
            </c:strRef>
          </c:cat>
          <c:val>
            <c:numRef>
              <c:f>Income!$D$9:$D$16</c:f>
              <c:numCache>
                <c:formatCode>#,##0</c:formatCode>
                <c:ptCount val="8"/>
                <c:pt idx="0">
                  <c:v>79224</c:v>
                </c:pt>
                <c:pt idx="1">
                  <c:v>48341</c:v>
                </c:pt>
                <c:pt idx="2">
                  <c:v>44395</c:v>
                </c:pt>
                <c:pt idx="3">
                  <c:v>31110</c:v>
                </c:pt>
                <c:pt idx="4">
                  <c:v>22123</c:v>
                </c:pt>
                <c:pt idx="5">
                  <c:v>9210</c:v>
                </c:pt>
                <c:pt idx="6">
                  <c:v>6984</c:v>
                </c:pt>
                <c:pt idx="7">
                  <c:v>2638</c:v>
                </c:pt>
              </c:numCache>
            </c:numRef>
          </c:val>
          <c:extLst>
            <c:ext xmlns:c16="http://schemas.microsoft.com/office/drawing/2014/chart" uri="{C3380CC4-5D6E-409C-BE32-E72D297353CC}">
              <c16:uniqueId val="{00000000-9EC4-478C-8E16-01AB7AA75439}"/>
            </c:ext>
          </c:extLst>
        </c:ser>
        <c:dLbls>
          <c:showLegendKey val="0"/>
          <c:showVal val="0"/>
          <c:showCatName val="0"/>
          <c:showSerName val="0"/>
          <c:showPercent val="0"/>
          <c:showBubbleSize val="0"/>
        </c:dLbls>
        <c:gapWidth val="219"/>
        <c:overlap val="-27"/>
        <c:axId val="364987424"/>
        <c:axId val="364985456"/>
      </c:barChart>
      <c:catAx>
        <c:axId val="364987424"/>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985456"/>
        <c:crosses val="autoZero"/>
        <c:auto val="1"/>
        <c:lblAlgn val="ctr"/>
        <c:lblOffset val="100"/>
        <c:noMultiLvlLbl val="0"/>
      </c:catAx>
      <c:valAx>
        <c:axId val="364985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987424"/>
        <c:crosses val="autoZero"/>
        <c:crossBetween val="between"/>
      </c:valAx>
      <c:spPr>
        <a:noFill/>
        <a:ln w="12700">
          <a:solidFill>
            <a:schemeClr val="tx1"/>
          </a:solid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4838145231846"/>
          <c:y val="6.2144007455987062E-2"/>
          <c:w val="0.84596062992125987"/>
          <c:h val="0.59849098497152609"/>
        </c:manualLayout>
      </c:layout>
      <c:barChart>
        <c:barDir val="col"/>
        <c:grouping val="clustered"/>
        <c:varyColors val="0"/>
        <c:ser>
          <c:idx val="0"/>
          <c:order val="0"/>
          <c:spPr>
            <a:solidFill>
              <a:schemeClr val="accent1"/>
            </a:solidFill>
            <a:ln>
              <a:noFill/>
            </a:ln>
            <a:effectLst/>
          </c:spPr>
          <c:invertIfNegative val="0"/>
          <c:cat>
            <c:strRef>
              <c:f>Expenditure!$A$7:$B$12</c:f>
              <c:strCache>
                <c:ptCount val="6"/>
                <c:pt idx="0">
                  <c:v>Care and Support</c:v>
                </c:pt>
                <c:pt idx="1">
                  <c:v>Research and Collaboration Costs</c:v>
                </c:pt>
                <c:pt idx="2">
                  <c:v>Information and Social Media </c:v>
                </c:pt>
                <c:pt idx="3">
                  <c:v>Central Office and Admin. Costs</c:v>
                </c:pt>
                <c:pt idx="4">
                  <c:v>Governance </c:v>
                </c:pt>
                <c:pt idx="5">
                  <c:v>Cost of Fund Raising. </c:v>
                </c:pt>
              </c:strCache>
            </c:strRef>
          </c:cat>
          <c:val>
            <c:numRef>
              <c:f>Expenditure!$J$7:$J$12</c:f>
              <c:numCache>
                <c:formatCode>_(* #,##0_);_(* \(#,##0\);_(* "-"_);_(@_)</c:formatCode>
                <c:ptCount val="6"/>
                <c:pt idx="0" formatCode="#,##0">
                  <c:v>164571.20611888112</c:v>
                </c:pt>
                <c:pt idx="1">
                  <c:v>89114.73000000001</c:v>
                </c:pt>
                <c:pt idx="2" formatCode="#,##0">
                  <c:v>46000.57</c:v>
                </c:pt>
                <c:pt idx="3" formatCode="#,##0">
                  <c:v>25751.767482517484</c:v>
                </c:pt>
                <c:pt idx="4" formatCode="#,##0">
                  <c:v>16571.806398601399</c:v>
                </c:pt>
                <c:pt idx="5" formatCode="#,##0">
                  <c:v>16389.919999999998</c:v>
                </c:pt>
              </c:numCache>
            </c:numRef>
          </c:val>
          <c:extLst>
            <c:ext xmlns:c16="http://schemas.microsoft.com/office/drawing/2014/chart" uri="{C3380CC4-5D6E-409C-BE32-E72D297353CC}">
              <c16:uniqueId val="{00000000-DA50-4A28-9A71-A617F3DED202}"/>
            </c:ext>
          </c:extLst>
        </c:ser>
        <c:dLbls>
          <c:showLegendKey val="0"/>
          <c:showVal val="0"/>
          <c:showCatName val="0"/>
          <c:showSerName val="0"/>
          <c:showPercent val="0"/>
          <c:showBubbleSize val="0"/>
        </c:dLbls>
        <c:gapWidth val="219"/>
        <c:overlap val="-27"/>
        <c:axId val="467726512"/>
        <c:axId val="467724872"/>
      </c:barChart>
      <c:catAx>
        <c:axId val="467726512"/>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724872"/>
        <c:crosses val="autoZero"/>
        <c:auto val="1"/>
        <c:lblAlgn val="ctr"/>
        <c:lblOffset val="100"/>
        <c:noMultiLvlLbl val="0"/>
      </c:catAx>
      <c:valAx>
        <c:axId val="467724872"/>
        <c:scaling>
          <c:orientation val="minMax"/>
          <c:max val="2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726512"/>
        <c:crosses val="autoZero"/>
        <c:crossBetween val="between"/>
      </c:valAx>
      <c:spPr>
        <a:noFill/>
        <a:ln w="12700">
          <a:solidFill>
            <a:schemeClr val="tx1"/>
          </a:solid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0.48789</cdr:x>
      <cdr:y>0.86905</cdr:y>
    </cdr:from>
    <cdr:to>
      <cdr:x>0.95156</cdr:x>
      <cdr:y>1</cdr:y>
    </cdr:to>
    <cdr:sp macro="" textlink="">
      <cdr:nvSpPr>
        <cdr:cNvPr id="2" name="TextBox 1"/>
        <cdr:cNvSpPr txBox="1"/>
      </cdr:nvSpPr>
      <cdr:spPr>
        <a:xfrm xmlns:a="http://schemas.openxmlformats.org/drawingml/2006/main">
          <a:off x="2686050" y="3476624"/>
          <a:ext cx="2552700" cy="5238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0.22838</cdr:x>
      <cdr:y>0.90952</cdr:y>
    </cdr:from>
    <cdr:to>
      <cdr:x>0.77336</cdr:x>
      <cdr:y>0.97857</cdr:y>
    </cdr:to>
    <cdr:sp macro="" textlink="">
      <cdr:nvSpPr>
        <cdr:cNvPr id="3" name="TextBox 2"/>
        <cdr:cNvSpPr txBox="1"/>
      </cdr:nvSpPr>
      <cdr:spPr>
        <a:xfrm xmlns:a="http://schemas.openxmlformats.org/drawingml/2006/main">
          <a:off x="1257321" y="3733841"/>
          <a:ext cx="3000360" cy="283470"/>
        </a:xfrm>
        <a:prstGeom xmlns:a="http://schemas.openxmlformats.org/drawingml/2006/main" prst="rect">
          <a:avLst/>
        </a:prstGeom>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en-GB" sz="1100"/>
            <a:t>Source; Management</a:t>
          </a:r>
          <a:r>
            <a:rPr lang="en-GB" sz="1100" baseline="0"/>
            <a:t> Accounts, 2016 / 2017</a:t>
          </a:r>
          <a:endParaRPr lang="en-GB" sz="1100"/>
        </a:p>
      </cdr:txBody>
    </cdr:sp>
  </cdr:relSizeAnchor>
</c:userShapes>
</file>

<file path=word/drawings/drawing2.xml><?xml version="1.0" encoding="utf-8"?>
<c:userShapes xmlns:c="http://schemas.openxmlformats.org/drawingml/2006/chart">
  <cdr:relSizeAnchor xmlns:cdr="http://schemas.openxmlformats.org/drawingml/2006/chartDrawing">
    <cdr:from>
      <cdr:x>0.23168</cdr:x>
      <cdr:y>0.85466</cdr:y>
    </cdr:from>
    <cdr:to>
      <cdr:x>0.77903</cdr:x>
      <cdr:y>0.93038</cdr:y>
    </cdr:to>
    <cdr:sp macro="" textlink="">
      <cdr:nvSpPr>
        <cdr:cNvPr id="3" name="TextBox 1"/>
        <cdr:cNvSpPr txBox="1"/>
      </cdr:nvSpPr>
      <cdr:spPr>
        <a:xfrm xmlns:a="http://schemas.openxmlformats.org/drawingml/2006/main">
          <a:off x="1269917" y="3117854"/>
          <a:ext cx="3000201" cy="276233"/>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Source; Management</a:t>
          </a:r>
          <a:r>
            <a:rPr lang="en-GB" sz="1100" baseline="0"/>
            <a:t> Accounts, 2016 / 2017</a:t>
          </a:r>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d.robertsinruncorn@ntlworld.com</dc:creator>
  <cp:keywords/>
  <dc:description/>
  <cp:lastModifiedBy>John Lee Taggart</cp:lastModifiedBy>
  <cp:revision>2</cp:revision>
  <dcterms:created xsi:type="dcterms:W3CDTF">2018-05-21T13:21:00Z</dcterms:created>
  <dcterms:modified xsi:type="dcterms:W3CDTF">2018-05-21T13:21:00Z</dcterms:modified>
</cp:coreProperties>
</file>